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大标宋简体"/>
          <w:bCs/>
          <w:sz w:val="44"/>
          <w:szCs w:val="44"/>
        </w:rPr>
      </w:pPr>
    </w:p>
    <w:p>
      <w:pPr>
        <w:spacing w:line="600" w:lineRule="exact"/>
        <w:jc w:val="center"/>
        <w:outlineLvl w:val="0"/>
        <w:rPr>
          <w:rFonts w:ascii="Times New Roman" w:hAnsi="Times New Roman" w:eastAsia="方正大标宋简体"/>
          <w:bCs/>
          <w:sz w:val="44"/>
          <w:szCs w:val="44"/>
        </w:rPr>
      </w:pPr>
      <w:r>
        <w:rPr>
          <w:rFonts w:hint="eastAsia" w:ascii="Times New Roman" w:hAnsi="Times New Roman" w:eastAsia="方正大标宋简体"/>
          <w:bCs/>
          <w:sz w:val="44"/>
          <w:szCs w:val="44"/>
        </w:rPr>
        <w:t>北京</w:t>
      </w:r>
      <w:r>
        <w:rPr>
          <w:rFonts w:ascii="Times New Roman" w:hAnsi="Times New Roman" w:eastAsia="方正大标宋简体"/>
          <w:bCs/>
          <w:sz w:val="44"/>
          <w:szCs w:val="44"/>
        </w:rPr>
        <w:t>证券交易所</w:t>
      </w:r>
      <w:r>
        <w:rPr>
          <w:rFonts w:hint="eastAsia" w:ascii="Times New Roman" w:hAnsi="Times New Roman" w:eastAsia="方正大标宋简体"/>
          <w:bCs/>
          <w:sz w:val="44"/>
          <w:szCs w:val="44"/>
        </w:rPr>
        <w:t>上市公司</w:t>
      </w:r>
      <w:r>
        <w:rPr>
          <w:rFonts w:ascii="Times New Roman" w:hAnsi="Times New Roman" w:eastAsia="方正大标宋简体"/>
          <w:bCs/>
          <w:sz w:val="44"/>
          <w:szCs w:val="44"/>
        </w:rPr>
        <w:t>持续监管指引</w:t>
      </w:r>
    </w:p>
    <w:p>
      <w:pPr>
        <w:spacing w:line="600" w:lineRule="exact"/>
        <w:jc w:val="center"/>
        <w:outlineLvl w:val="0"/>
        <w:rPr>
          <w:rFonts w:hint="eastAsia" w:ascii="Times New Roman" w:hAnsi="Times New Roman" w:eastAsia="方正大标宋简体"/>
          <w:sz w:val="42"/>
          <w:szCs w:val="42"/>
        </w:rPr>
      </w:pPr>
      <w:r>
        <w:rPr>
          <w:rFonts w:ascii="Times New Roman" w:hAnsi="Times New Roman" w:eastAsia="方正大标宋简体"/>
          <w:bCs/>
          <w:sz w:val="44"/>
          <w:szCs w:val="44"/>
        </w:rPr>
        <w:t>第</w:t>
      </w:r>
      <w:r>
        <w:rPr>
          <w:rFonts w:hint="eastAsia" w:ascii="Times New Roman" w:hAnsi="Times New Roman" w:eastAsia="方正大标宋简体"/>
          <w:bCs/>
          <w:sz w:val="44"/>
          <w:szCs w:val="44"/>
        </w:rPr>
        <w:t>8号</w:t>
      </w:r>
      <w:r>
        <w:rPr>
          <w:rFonts w:ascii="仿宋" w:hAnsi="仿宋" w:eastAsia="仿宋"/>
          <w:bCs/>
          <w:sz w:val="44"/>
          <w:szCs w:val="44"/>
        </w:rPr>
        <w:t>——</w:t>
      </w:r>
      <w:r>
        <w:rPr>
          <w:rFonts w:hint="eastAsia" w:ascii="Times New Roman" w:hAnsi="Times New Roman" w:eastAsia="方正大标宋简体"/>
          <w:bCs/>
          <w:sz w:val="44"/>
          <w:szCs w:val="44"/>
        </w:rPr>
        <w:t>股份减持和持股管理</w:t>
      </w:r>
    </w:p>
    <w:p>
      <w:pPr>
        <w:spacing w:line="600" w:lineRule="exact"/>
        <w:rPr>
          <w:rFonts w:ascii="Times New Roman" w:hAnsi="Times New Roman" w:eastAsia="方正大标宋简体"/>
          <w:sz w:val="44"/>
          <w:szCs w:val="44"/>
        </w:rPr>
      </w:pPr>
    </w:p>
    <w:p>
      <w:pPr>
        <w:spacing w:line="600" w:lineRule="exact"/>
        <w:ind w:firstLine="640" w:firstLineChars="200"/>
        <w:rPr>
          <w:rFonts w:ascii="Times New Roman" w:hAnsi="Times New Roman" w:eastAsia="仿宋"/>
          <w:sz w:val="32"/>
        </w:rPr>
      </w:pPr>
      <w:r>
        <w:rPr>
          <w:rFonts w:hint="eastAsia" w:ascii="黑体" w:hAnsi="黑体" w:eastAsia="黑体"/>
          <w:sz w:val="32"/>
        </w:rPr>
        <w:t>第一条</w:t>
      </w:r>
      <w:r>
        <w:rPr>
          <w:rFonts w:hint="eastAsia" w:ascii="Times New Roman" w:hAnsi="Times New Roman" w:eastAsia="仿宋"/>
          <w:sz w:val="32"/>
        </w:rPr>
        <w:t xml:space="preserve"> </w:t>
      </w:r>
      <w:r>
        <w:rPr>
          <w:rFonts w:ascii="Times New Roman" w:hAnsi="Times New Roman" w:eastAsia="仿宋"/>
          <w:sz w:val="32"/>
        </w:rPr>
        <w:t>为规范</w:t>
      </w:r>
      <w:r>
        <w:rPr>
          <w:rFonts w:hint="eastAsia" w:ascii="Times New Roman" w:hAnsi="Times New Roman" w:eastAsia="仿宋"/>
          <w:sz w:val="32"/>
        </w:rPr>
        <w:t>北京</w:t>
      </w:r>
      <w:r>
        <w:rPr>
          <w:rFonts w:ascii="Times New Roman" w:hAnsi="Times New Roman" w:eastAsia="仿宋"/>
          <w:sz w:val="32"/>
        </w:rPr>
        <w:t>证券交易所</w:t>
      </w:r>
      <w:r>
        <w:rPr>
          <w:rFonts w:hint="eastAsia" w:ascii="Times New Roman" w:hAnsi="Times New Roman" w:eastAsia="仿宋"/>
          <w:sz w:val="32"/>
        </w:rPr>
        <w:t>（以下简称本所或北交所</w:t>
      </w:r>
      <w:r>
        <w:rPr>
          <w:rFonts w:ascii="Times New Roman" w:hAnsi="Times New Roman" w:eastAsia="仿宋"/>
          <w:sz w:val="32"/>
        </w:rPr>
        <w:t>）上市公司</w:t>
      </w:r>
      <w:r>
        <w:rPr>
          <w:rFonts w:hint="eastAsia" w:ascii="Times New Roman" w:hAnsi="Times New Roman" w:eastAsia="仿宋"/>
          <w:sz w:val="32"/>
        </w:rPr>
        <w:t>股东及董事、监事、高级管理人员（以下简称董监高）持股管理和减持股份的行为，维护市场秩序，保护投资者合法权益，根据《北京证券交易所上市公司持续监管办法（试行）》</w:t>
      </w:r>
      <w:r>
        <w:rPr>
          <w:rFonts w:ascii="Times New Roman" w:hAnsi="Times New Roman" w:eastAsia="仿宋"/>
          <w:sz w:val="32"/>
        </w:rPr>
        <w:t>《</w:t>
      </w:r>
      <w:r>
        <w:rPr>
          <w:rFonts w:hint="eastAsia" w:ascii="Times New Roman" w:hAnsi="Times New Roman" w:eastAsia="仿宋"/>
          <w:sz w:val="32"/>
        </w:rPr>
        <w:t>北京</w:t>
      </w:r>
      <w:r>
        <w:rPr>
          <w:rFonts w:ascii="Times New Roman" w:hAnsi="Times New Roman" w:eastAsia="仿宋"/>
          <w:sz w:val="32"/>
        </w:rPr>
        <w:t>证券交易所股票上市规则</w:t>
      </w:r>
      <w:r>
        <w:rPr>
          <w:rFonts w:hint="eastAsia" w:ascii="Times New Roman" w:hAnsi="Times New Roman" w:eastAsia="仿宋"/>
          <w:sz w:val="32"/>
        </w:rPr>
        <w:t>（试行）</w:t>
      </w:r>
      <w:r>
        <w:rPr>
          <w:rFonts w:ascii="Times New Roman" w:hAnsi="Times New Roman" w:eastAsia="仿宋"/>
          <w:sz w:val="32"/>
        </w:rPr>
        <w:t>》（以下简称《</w:t>
      </w:r>
      <w:r>
        <w:rPr>
          <w:rFonts w:hint="eastAsia" w:ascii="Times New Roman" w:hAnsi="Times New Roman" w:eastAsia="仿宋"/>
          <w:sz w:val="32"/>
        </w:rPr>
        <w:t>上市规则</w:t>
      </w:r>
      <w:r>
        <w:rPr>
          <w:rFonts w:ascii="Times New Roman" w:hAnsi="Times New Roman" w:eastAsia="仿宋"/>
          <w:sz w:val="32"/>
        </w:rPr>
        <w:t>》）</w:t>
      </w:r>
      <w:r>
        <w:rPr>
          <w:rFonts w:hint="eastAsia" w:ascii="Times New Roman" w:hAnsi="Times New Roman" w:eastAsia="仿宋"/>
          <w:sz w:val="32"/>
          <w:szCs w:val="32"/>
        </w:rPr>
        <w:t>等规定，制定本指引</w:t>
      </w:r>
      <w:r>
        <w:rPr>
          <w:rFonts w:ascii="Times New Roman" w:hAnsi="Times New Roman" w:eastAsia="仿宋"/>
          <w:sz w:val="32"/>
          <w:szCs w:val="32"/>
        </w:rPr>
        <w:t>。</w:t>
      </w:r>
    </w:p>
    <w:p>
      <w:pPr>
        <w:spacing w:line="600" w:lineRule="exact"/>
        <w:ind w:firstLine="640" w:firstLineChars="200"/>
        <w:rPr>
          <w:rFonts w:ascii="Times New Roman" w:hAnsi="Times New Roman" w:eastAsia="仿宋"/>
          <w:bCs/>
          <w:sz w:val="32"/>
        </w:rPr>
      </w:pPr>
      <w:r>
        <w:rPr>
          <w:rFonts w:hint="eastAsia" w:ascii="黑体" w:hAnsi="黑体" w:eastAsia="黑体"/>
          <w:sz w:val="32"/>
        </w:rPr>
        <w:t>第二条</w:t>
      </w:r>
      <w:r>
        <w:rPr>
          <w:rFonts w:hint="eastAsia" w:ascii="Times New Roman" w:hAnsi="Times New Roman" w:eastAsia="仿宋"/>
          <w:b/>
          <w:sz w:val="32"/>
        </w:rPr>
        <w:t xml:space="preserve"> </w:t>
      </w:r>
      <w:r>
        <w:rPr>
          <w:rFonts w:hint="eastAsia" w:ascii="Times New Roman" w:hAnsi="Times New Roman" w:eastAsia="仿宋"/>
          <w:bCs/>
          <w:sz w:val="32"/>
        </w:rPr>
        <w:t>上市公司股东及董监高减持其持有的本公司股份，应当遵守法律法规、部门规章、本所业务规则及本指引的相关规定。</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前述主体对持股比例、持股数量、持股期限、减持方式、减持比例、减持价格等做出公开承诺的，应当严格履行所做出的承诺。</w:t>
      </w:r>
    </w:p>
    <w:p>
      <w:pPr>
        <w:spacing w:line="600" w:lineRule="exact"/>
        <w:ind w:firstLine="640" w:firstLineChars="200"/>
        <w:rPr>
          <w:rFonts w:ascii="Times New Roman" w:hAnsi="Times New Roman" w:eastAsia="仿宋"/>
          <w:sz w:val="32"/>
        </w:rPr>
      </w:pPr>
      <w:r>
        <w:rPr>
          <w:rFonts w:hint="eastAsia" w:ascii="黑体" w:hAnsi="黑体" w:eastAsia="黑体"/>
          <w:sz w:val="32"/>
        </w:rPr>
        <w:t>第三条</w:t>
      </w:r>
      <w:r>
        <w:rPr>
          <w:rFonts w:hint="eastAsia" w:ascii="Times New Roman" w:hAnsi="Times New Roman" w:eastAsia="仿宋"/>
          <w:b/>
          <w:sz w:val="32"/>
        </w:rPr>
        <w:t xml:space="preserve"> </w:t>
      </w:r>
      <w:r>
        <w:rPr>
          <w:rFonts w:hint="eastAsia" w:ascii="Times New Roman" w:hAnsi="Times New Roman" w:eastAsia="仿宋"/>
          <w:sz w:val="32"/>
        </w:rPr>
        <w:t>上市公司控股股东和持股5%以上股东（以下统称大股东）、实际控制人、董监高计划通过北交所集中竞价交易减持股份</w:t>
      </w:r>
      <w:r>
        <w:rPr>
          <w:rFonts w:hint="eastAsia" w:ascii="Times New Roman" w:hAnsi="Times New Roman" w:eastAsia="仿宋"/>
          <w:sz w:val="32"/>
          <w:lang w:eastAsia="zh-CN"/>
        </w:rPr>
        <w:t>的</w:t>
      </w:r>
      <w:r>
        <w:rPr>
          <w:rFonts w:hint="eastAsia" w:ascii="Times New Roman" w:hAnsi="Times New Roman" w:eastAsia="仿宋"/>
          <w:sz w:val="32"/>
        </w:rPr>
        <w:t>，应当及时通知公司，并在首次卖出的15个交易日前预先披露减持计划；控股股东、实际控制人每次披露的减持时间区间不得超过3个月，其他</w:t>
      </w:r>
      <w:r>
        <w:rPr>
          <w:rFonts w:hint="eastAsia" w:ascii="Times New Roman" w:hAnsi="Times New Roman" w:eastAsia="仿宋"/>
          <w:bCs/>
          <w:sz w:val="32"/>
        </w:rPr>
        <w:t>主体</w:t>
      </w:r>
      <w:r>
        <w:rPr>
          <w:rFonts w:hint="eastAsia" w:ascii="Times New Roman" w:hAnsi="Times New Roman" w:eastAsia="仿宋"/>
          <w:sz w:val="32"/>
        </w:rPr>
        <w:t>每次披露的减持时间区间不得超过6个月；拟在3个月内减持股份的总数超过公司股份总数1%的，还应当在首次卖出的30个交易日前预先披露减持计划。减持计划内容应包括：</w:t>
      </w:r>
    </w:p>
    <w:p>
      <w:pPr>
        <w:spacing w:line="600" w:lineRule="exact"/>
        <w:ind w:firstLine="640" w:firstLineChars="200"/>
        <w:rPr>
          <w:rFonts w:ascii="Times New Roman" w:hAnsi="Times New Roman" w:eastAsia="仿宋"/>
          <w:sz w:val="32"/>
        </w:rPr>
      </w:pPr>
      <w:r>
        <w:rPr>
          <w:rFonts w:hint="eastAsia" w:ascii="Times New Roman" w:hAnsi="Times New Roman" w:eastAsia="仿宋"/>
          <w:sz w:val="32"/>
        </w:rPr>
        <w:t>（一）减持股份来源、数量、比例，减持期间、方式、价格区间及原因等安排；</w:t>
      </w:r>
    </w:p>
    <w:p>
      <w:pPr>
        <w:spacing w:line="600" w:lineRule="exact"/>
        <w:ind w:firstLine="640" w:firstLineChars="200"/>
        <w:rPr>
          <w:rFonts w:ascii="Times New Roman" w:hAnsi="Times New Roman" w:eastAsia="仿宋"/>
          <w:sz w:val="32"/>
        </w:rPr>
      </w:pPr>
      <w:r>
        <w:rPr>
          <w:rFonts w:hint="eastAsia" w:ascii="Times New Roman" w:hAnsi="Times New Roman" w:eastAsia="仿宋"/>
          <w:sz w:val="32"/>
        </w:rPr>
        <w:t>（二）相关主体已披露的公开承诺情况，本次减持事项是否与承诺内容一致，以及是否存在违反承诺情形；</w:t>
      </w:r>
    </w:p>
    <w:p>
      <w:pPr>
        <w:spacing w:line="600" w:lineRule="exact"/>
        <w:ind w:firstLine="640" w:firstLineChars="200"/>
        <w:rPr>
          <w:rFonts w:ascii="Times New Roman" w:hAnsi="Times New Roman" w:eastAsia="仿宋"/>
          <w:sz w:val="32"/>
        </w:rPr>
      </w:pPr>
      <w:r>
        <w:rPr>
          <w:rFonts w:hint="eastAsia" w:ascii="Times New Roman" w:hAnsi="Times New Roman" w:eastAsia="仿宋"/>
          <w:sz w:val="32"/>
        </w:rPr>
        <w:t>（三）相关主体是否存在本所《上市规则》及本指引规定的不得减持情形；</w:t>
      </w:r>
    </w:p>
    <w:p>
      <w:pPr>
        <w:spacing w:line="600" w:lineRule="exact"/>
        <w:ind w:firstLine="640" w:firstLineChars="200"/>
        <w:rPr>
          <w:rFonts w:ascii="Times New Roman" w:hAnsi="Times New Roman" w:eastAsia="仿宋"/>
          <w:sz w:val="32"/>
        </w:rPr>
      </w:pPr>
      <w:r>
        <w:rPr>
          <w:rFonts w:hint="eastAsia" w:ascii="Times New Roman" w:hAnsi="Times New Roman" w:eastAsia="仿宋"/>
          <w:sz w:val="32"/>
        </w:rPr>
        <w:t>（四）减持计划实施的不确定性风险；</w:t>
      </w:r>
    </w:p>
    <w:p>
      <w:pPr>
        <w:spacing w:line="600" w:lineRule="exact"/>
        <w:ind w:firstLine="640" w:firstLineChars="200"/>
        <w:rPr>
          <w:rFonts w:ascii="Times New Roman" w:hAnsi="Times New Roman" w:eastAsia="仿宋"/>
          <w:sz w:val="32"/>
        </w:rPr>
      </w:pPr>
      <w:r>
        <w:rPr>
          <w:rFonts w:hint="eastAsia" w:ascii="Times New Roman" w:hAnsi="Times New Roman" w:eastAsia="仿宋"/>
          <w:sz w:val="32"/>
        </w:rPr>
        <w:t>（五）中国证监会、本所要求披露，或相关主体认为其他应当说明的事项。</w:t>
      </w:r>
    </w:p>
    <w:p>
      <w:pPr>
        <w:spacing w:line="600" w:lineRule="exact"/>
        <w:ind w:firstLine="640" w:firstLineChars="200"/>
        <w:rPr>
          <w:rFonts w:ascii="Times New Roman" w:hAnsi="Times New Roman" w:eastAsia="仿宋"/>
          <w:sz w:val="32"/>
        </w:rPr>
      </w:pPr>
      <w:r>
        <w:rPr>
          <w:rFonts w:hint="eastAsia" w:ascii="Times New Roman" w:hAnsi="Times New Roman" w:eastAsia="仿宋"/>
          <w:sz w:val="32"/>
        </w:rPr>
        <w:t>控股股东、实际控制人减持股份的，减持计划除应披露前款内容外，还应当说明是否符合本指引第十条规定，以及上市公司是否存在其他重大负面事项或重大风险；减持股份属于公开发行并上市前持有的，减持计划还应当明确未来12个月上市公司的控制权安排，保证公司持续稳定经营。</w:t>
      </w:r>
    </w:p>
    <w:p>
      <w:pPr>
        <w:spacing w:line="600" w:lineRule="exact"/>
        <w:ind w:firstLine="640" w:firstLineChars="200"/>
        <w:rPr>
          <w:rFonts w:ascii="Times New Roman" w:hAnsi="Times New Roman" w:eastAsia="仿宋"/>
          <w:sz w:val="32"/>
        </w:rPr>
      </w:pPr>
      <w:r>
        <w:rPr>
          <w:rFonts w:hint="eastAsia" w:ascii="黑体" w:hAnsi="黑体" w:eastAsia="黑体"/>
          <w:sz w:val="32"/>
        </w:rPr>
        <w:t>第四条</w:t>
      </w:r>
      <w:r>
        <w:rPr>
          <w:rFonts w:hint="eastAsia" w:ascii="Times New Roman" w:hAnsi="Times New Roman" w:eastAsia="仿宋"/>
          <w:b/>
          <w:sz w:val="32"/>
        </w:rPr>
        <w:t xml:space="preserve"> </w:t>
      </w:r>
      <w:r>
        <w:rPr>
          <w:rFonts w:hint="eastAsia" w:ascii="Times New Roman" w:hAnsi="Times New Roman" w:eastAsia="仿宋"/>
          <w:sz w:val="32"/>
        </w:rPr>
        <w:t>上市公司大股东、实际控制人、董监高应当在减持计划披露的减持数量过半或减持时间过半时，及时通知公司，披露减持进展公告；并在股份减持计划实施完毕或者披露的减持时间区间届满后，及时披露减持结果公告。</w:t>
      </w:r>
    </w:p>
    <w:p>
      <w:pPr>
        <w:spacing w:line="600" w:lineRule="exact"/>
        <w:ind w:firstLine="640" w:firstLineChars="200"/>
        <w:rPr>
          <w:rFonts w:ascii="Times New Roman" w:hAnsi="Times New Roman" w:eastAsia="仿宋"/>
          <w:sz w:val="32"/>
        </w:rPr>
      </w:pPr>
      <w:r>
        <w:rPr>
          <w:rFonts w:hint="eastAsia" w:ascii="Times New Roman" w:hAnsi="Times New Roman" w:eastAsia="仿宋"/>
          <w:sz w:val="32"/>
        </w:rPr>
        <w:t>减持进展公告和结果公告内容主要包括已减持数量、比例、是否与已披露的减持计划一致等。</w:t>
      </w:r>
    </w:p>
    <w:p>
      <w:pPr>
        <w:spacing w:line="600" w:lineRule="exact"/>
        <w:ind w:firstLine="640" w:firstLineChars="200"/>
        <w:rPr>
          <w:rFonts w:ascii="Times New Roman" w:hAnsi="Times New Roman" w:eastAsia="仿宋"/>
          <w:sz w:val="32"/>
        </w:rPr>
      </w:pPr>
      <w:r>
        <w:rPr>
          <w:rFonts w:hint="eastAsia" w:ascii="黑体" w:hAnsi="黑体" w:eastAsia="黑体"/>
          <w:sz w:val="32"/>
        </w:rPr>
        <w:t>第五条</w:t>
      </w:r>
      <w:r>
        <w:rPr>
          <w:rFonts w:hint="eastAsia" w:ascii="Times New Roman" w:hAnsi="Times New Roman" w:eastAsia="仿宋"/>
          <w:b/>
          <w:sz w:val="32"/>
        </w:rPr>
        <w:t xml:space="preserve"> </w:t>
      </w:r>
      <w:r>
        <w:rPr>
          <w:rFonts w:hint="eastAsia" w:ascii="Times New Roman" w:hAnsi="Times New Roman" w:eastAsia="仿宋"/>
          <w:sz w:val="32"/>
        </w:rPr>
        <w:t>上市公司大股东、实际控制人、董监高</w:t>
      </w:r>
      <w:r>
        <w:rPr>
          <w:rFonts w:hint="eastAsia" w:ascii="Times New Roman" w:hAnsi="Times New Roman" w:eastAsia="仿宋"/>
          <w:sz w:val="32"/>
          <w:lang w:eastAsia="zh-CN"/>
        </w:rPr>
        <w:t>计划</w:t>
      </w:r>
      <w:r>
        <w:rPr>
          <w:rFonts w:hint="eastAsia" w:ascii="Times New Roman" w:hAnsi="Times New Roman" w:eastAsia="仿宋"/>
          <w:sz w:val="32"/>
        </w:rPr>
        <w:t>通过北交所大宗交易或协议转让减持股份的，应当及时通知公司，在首次大宗交易卖出或向北交所申请办理协议转让手续的15个交易日前，预先披露减持计划，并按照本指引第四条规定履行持续信息披露义务。</w:t>
      </w:r>
    </w:p>
    <w:p>
      <w:pPr>
        <w:spacing w:line="600" w:lineRule="exact"/>
        <w:ind w:firstLine="640" w:firstLineChars="200"/>
        <w:rPr>
          <w:rFonts w:ascii="Times New Roman" w:hAnsi="Times New Roman" w:eastAsia="仿宋"/>
          <w:sz w:val="32"/>
        </w:rPr>
      </w:pPr>
      <w:r>
        <w:rPr>
          <w:rFonts w:hint="eastAsia" w:ascii="Times New Roman" w:hAnsi="Times New Roman" w:eastAsia="仿宋"/>
          <w:sz w:val="32"/>
        </w:rPr>
        <w:t>减持计划内容和减持时间区间应当符合本指引第三条规定。</w:t>
      </w:r>
    </w:p>
    <w:p>
      <w:pPr>
        <w:spacing w:line="600" w:lineRule="exact"/>
        <w:ind w:firstLine="640" w:firstLineChars="200"/>
        <w:rPr>
          <w:rFonts w:ascii="Times New Roman" w:hAnsi="Times New Roman" w:eastAsia="仿宋"/>
          <w:bCs/>
          <w:sz w:val="32"/>
        </w:rPr>
      </w:pPr>
      <w:r>
        <w:rPr>
          <w:rFonts w:hint="eastAsia" w:ascii="黑体" w:hAnsi="黑体" w:eastAsia="黑体"/>
          <w:sz w:val="32"/>
        </w:rPr>
        <w:t>第六条</w:t>
      </w:r>
      <w:r>
        <w:rPr>
          <w:rFonts w:hint="eastAsia" w:ascii="Times New Roman" w:hAnsi="Times New Roman" w:eastAsia="仿宋"/>
          <w:b/>
          <w:sz w:val="32"/>
        </w:rPr>
        <w:t xml:space="preserve"> </w:t>
      </w:r>
      <w:r>
        <w:rPr>
          <w:rFonts w:hint="eastAsia" w:ascii="Times New Roman" w:hAnsi="Times New Roman" w:eastAsia="仿宋"/>
          <w:bCs/>
          <w:sz w:val="32"/>
        </w:rPr>
        <w:t>上市公司大股东、实际控制人通过本所和全国中小企业股份转让系统的竞价或做市交易买入的本公司股份，其减持不适用本指引第三条至第五条及第九条有关规定。</w:t>
      </w:r>
    </w:p>
    <w:p>
      <w:pPr>
        <w:spacing w:line="600" w:lineRule="exact"/>
        <w:ind w:firstLine="640" w:firstLineChars="200"/>
        <w:rPr>
          <w:rFonts w:ascii="Times New Roman" w:hAnsi="Times New Roman" w:eastAsia="仿宋"/>
          <w:sz w:val="32"/>
        </w:rPr>
      </w:pPr>
      <w:r>
        <w:rPr>
          <w:rFonts w:hint="eastAsia" w:ascii="黑体" w:hAnsi="黑体" w:eastAsia="黑体"/>
          <w:sz w:val="32"/>
        </w:rPr>
        <w:t>第七条</w:t>
      </w:r>
      <w:r>
        <w:rPr>
          <w:rFonts w:hint="eastAsia" w:ascii="Times New Roman" w:hAnsi="Times New Roman" w:eastAsia="仿宋"/>
          <w:b/>
          <w:sz w:val="32"/>
        </w:rPr>
        <w:t xml:space="preserve"> </w:t>
      </w:r>
      <w:r>
        <w:rPr>
          <w:rFonts w:hint="eastAsia" w:ascii="Times New Roman" w:hAnsi="Times New Roman" w:eastAsia="仿宋"/>
          <w:sz w:val="32"/>
        </w:rPr>
        <w:t>上市公司大股东、实际控制人同时持有适用减持预披露股份和不适用减持预披露股份的，相关主体减持股份，视为优先减持不适用预披露股份。</w:t>
      </w:r>
    </w:p>
    <w:p>
      <w:pPr>
        <w:spacing w:line="600" w:lineRule="exact"/>
        <w:ind w:firstLine="640" w:firstLineChars="200"/>
        <w:rPr>
          <w:rFonts w:ascii="Times New Roman" w:hAnsi="Times New Roman" w:eastAsia="仿宋"/>
          <w:sz w:val="32"/>
        </w:rPr>
      </w:pPr>
      <w:r>
        <w:rPr>
          <w:rFonts w:hint="eastAsia" w:ascii="黑体" w:hAnsi="黑体" w:eastAsia="黑体"/>
          <w:sz w:val="32"/>
        </w:rPr>
        <w:t>第八条</w:t>
      </w:r>
      <w:r>
        <w:rPr>
          <w:rFonts w:hint="eastAsia" w:ascii="Times New Roman" w:hAnsi="Times New Roman" w:eastAsia="仿宋"/>
          <w:b/>
          <w:sz w:val="32"/>
        </w:rPr>
        <w:t xml:space="preserve"> </w:t>
      </w:r>
      <w:r>
        <w:rPr>
          <w:rFonts w:hint="eastAsia" w:ascii="Times New Roman" w:hAnsi="Times New Roman" w:eastAsia="仿宋"/>
          <w:sz w:val="32"/>
        </w:rPr>
        <w:t>公司上市时未盈利的，在实现盈利前，控股股东、实际控制人、董监高自公司股票上市之日起2个完整会计年度内，不得减持公开发行并上市前股份；公司实现盈利后，可以自当年年度报告披露后次日起减持公开发行并上市前股份，但应遵守《上市规则》及本指引相关规定。</w:t>
      </w:r>
    </w:p>
    <w:p>
      <w:pPr>
        <w:spacing w:line="600" w:lineRule="exact"/>
        <w:ind w:firstLine="640" w:firstLineChars="200"/>
        <w:rPr>
          <w:rFonts w:ascii="Times New Roman" w:hAnsi="Times New Roman" w:eastAsia="仿宋"/>
          <w:sz w:val="32"/>
        </w:rPr>
      </w:pPr>
      <w:r>
        <w:rPr>
          <w:rFonts w:hint="eastAsia" w:ascii="Times New Roman" w:hAnsi="Times New Roman" w:eastAsia="仿宋"/>
          <w:sz w:val="32"/>
        </w:rPr>
        <w:t>董监高在前款规定期间内离职的，应当继续遵守前款规定。</w:t>
      </w:r>
    </w:p>
    <w:p>
      <w:pPr>
        <w:spacing w:line="600" w:lineRule="exact"/>
        <w:ind w:firstLine="640" w:firstLineChars="200"/>
        <w:rPr>
          <w:rFonts w:ascii="Times New Roman" w:hAnsi="Times New Roman" w:eastAsia="仿宋"/>
          <w:bCs/>
          <w:sz w:val="32"/>
        </w:rPr>
      </w:pPr>
      <w:r>
        <w:rPr>
          <w:rFonts w:hint="eastAsia" w:ascii="黑体" w:hAnsi="黑体" w:eastAsia="黑体"/>
          <w:sz w:val="32"/>
        </w:rPr>
        <w:t>第九条</w:t>
      </w:r>
      <w:r>
        <w:rPr>
          <w:rFonts w:hint="eastAsia" w:ascii="Times New Roman" w:hAnsi="Times New Roman" w:eastAsia="仿宋"/>
          <w:b/>
          <w:sz w:val="32"/>
        </w:rPr>
        <w:t xml:space="preserve"> </w:t>
      </w:r>
      <w:r>
        <w:rPr>
          <w:rFonts w:hint="eastAsia" w:ascii="Times New Roman" w:hAnsi="Times New Roman" w:eastAsia="仿宋"/>
          <w:bCs/>
          <w:sz w:val="32"/>
        </w:rPr>
        <w:t>具有下列情形之一的，上市公司大股东、实际控制人不得减持其所持有的本公司股份：</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（一）上市公司或其大股东、实际控制人因涉嫌证券期货违法犯罪，在被中国证监会及其派出机构立案调查或者被司法机关立案侦查期间，以及在行政处罚决定、刑事判决作出之后未满6个月的；</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（二）大股东、实际控制人因违反本所业务规则，被本所公开谴责未满3个月的；</w:t>
      </w:r>
    </w:p>
    <w:p>
      <w:pPr>
        <w:spacing w:line="600" w:lineRule="exact"/>
        <w:ind w:firstLine="640" w:firstLineChars="200"/>
        <w:rPr>
          <w:rFonts w:hint="eastAsia" w:ascii="Times New Roman" w:hAnsi="Times New Roman" w:eastAsia="仿宋"/>
          <w:bCs/>
          <w:sz w:val="32"/>
        </w:rPr>
      </w:pPr>
      <w:r>
        <w:rPr>
          <w:rFonts w:hint="eastAsia" w:ascii="Times New Roman" w:hAnsi="Times New Roman" w:eastAsia="仿宋"/>
          <w:bCs/>
          <w:sz w:val="32"/>
        </w:rPr>
        <w:t>（三）中国证监会及本所规定的其他情形。</w:t>
      </w:r>
    </w:p>
    <w:p>
      <w:pPr>
        <w:spacing w:line="600" w:lineRule="exact"/>
        <w:ind w:firstLine="640" w:firstLineChars="200"/>
        <w:rPr>
          <w:rFonts w:hint="eastAsia" w:ascii="Times New Roman" w:hAnsi="Times New Roman" w:eastAsia="仿宋"/>
          <w:bCs/>
          <w:sz w:val="32"/>
        </w:rPr>
      </w:pPr>
      <w:r>
        <w:rPr>
          <w:rFonts w:hint="eastAsia" w:ascii="黑体" w:hAnsi="黑体" w:eastAsia="黑体"/>
          <w:sz w:val="32"/>
        </w:rPr>
        <w:t xml:space="preserve">第十条 </w:t>
      </w:r>
      <w:r>
        <w:rPr>
          <w:rFonts w:hint="eastAsia" w:ascii="Times New Roman" w:hAnsi="Times New Roman" w:eastAsia="仿宋"/>
          <w:bCs/>
          <w:sz w:val="32"/>
        </w:rPr>
        <w:t>上市公司控股股东、实际控制人计划通过北交所集中竞价交易或大宗交易减持其所持有的本公司股份的，在首次披露减持计划时，不得存在下列情形：</w:t>
      </w:r>
    </w:p>
    <w:p>
      <w:pPr>
        <w:spacing w:line="600" w:lineRule="exact"/>
        <w:ind w:firstLine="640" w:firstLineChars="200"/>
        <w:rPr>
          <w:rFonts w:hint="eastAsia" w:ascii="Times New Roman" w:hAnsi="Times New Roman" w:eastAsia="仿宋"/>
          <w:bCs/>
          <w:sz w:val="32"/>
        </w:rPr>
      </w:pPr>
      <w:r>
        <w:rPr>
          <w:rFonts w:hint="eastAsia" w:ascii="Times New Roman" w:hAnsi="Times New Roman" w:eastAsia="仿宋"/>
          <w:bCs/>
          <w:sz w:val="32"/>
        </w:rPr>
        <w:t>（一）最近20个交易日内，上市公司任一交易日股票收盘价低于其公开发行股票并上市的发行价格；</w:t>
      </w:r>
    </w:p>
    <w:p>
      <w:pPr>
        <w:spacing w:line="600" w:lineRule="exact"/>
        <w:ind w:firstLine="640" w:firstLineChars="200"/>
        <w:rPr>
          <w:rFonts w:hint="eastAsia" w:ascii="Times New Roman" w:hAnsi="Times New Roman" w:eastAsia="仿宋"/>
          <w:bCs/>
          <w:sz w:val="32"/>
        </w:rPr>
      </w:pPr>
      <w:r>
        <w:rPr>
          <w:rFonts w:hint="eastAsia" w:ascii="Times New Roman" w:hAnsi="Times New Roman" w:eastAsia="仿宋"/>
          <w:bCs/>
          <w:sz w:val="32"/>
        </w:rPr>
        <w:t>（二）最近20个交易日内，上市公司任一交易日股票收盘价低于最近一个会计年度或者最近一期财务会计报告期末每股净资产；</w:t>
      </w:r>
    </w:p>
    <w:p>
      <w:pPr>
        <w:tabs>
          <w:tab w:val="left" w:pos="3993"/>
        </w:tabs>
        <w:spacing w:line="600" w:lineRule="exact"/>
        <w:ind w:firstLine="640" w:firstLineChars="200"/>
        <w:rPr>
          <w:rFonts w:hint="eastAsia" w:ascii="Times New Roman" w:hAnsi="Times New Roman" w:eastAsia="仿宋"/>
          <w:bCs/>
          <w:sz w:val="32"/>
        </w:rPr>
      </w:pPr>
      <w:r>
        <w:rPr>
          <w:rFonts w:hint="eastAsia" w:ascii="Times New Roman" w:hAnsi="Times New Roman" w:eastAsia="仿宋"/>
          <w:bCs/>
          <w:sz w:val="32"/>
        </w:rPr>
        <w:t>（三）上市公司最近一期经审计的财务报告的归属于上市公司股东的净利润为负。</w:t>
      </w:r>
    </w:p>
    <w:p>
      <w:pPr>
        <w:tabs>
          <w:tab w:val="left" w:pos="3993"/>
        </w:tabs>
        <w:spacing w:line="600" w:lineRule="exact"/>
        <w:ind w:firstLine="640" w:firstLineChars="200"/>
        <w:rPr>
          <w:rFonts w:hint="eastAsia" w:ascii="Times New Roman" w:hAnsi="Times New Roman" w:eastAsia="仿宋"/>
          <w:bCs/>
          <w:sz w:val="32"/>
        </w:rPr>
      </w:pPr>
      <w:r>
        <w:rPr>
          <w:rFonts w:hint="eastAsia" w:ascii="Times New Roman" w:hAnsi="Times New Roman" w:eastAsia="仿宋"/>
          <w:bCs/>
          <w:sz w:val="32"/>
        </w:rPr>
        <w:t>第一款第一项仅适用于公开发行股票并上市时的控股股东、实际控制人，上市后不再具备相关主体身份的，也应遵守该项规定。第一款第一项所称股票收盘价以公开发行股票并上市之日为基准向后复权计算；第一款第二项所称股票收盘价以最近一个会计年度或者最近一期财务会计报告资产负债表日为基准分别向后复权计算。</w:t>
      </w:r>
    </w:p>
    <w:p>
      <w:pPr>
        <w:spacing w:line="600" w:lineRule="exact"/>
        <w:ind w:firstLine="640" w:firstLineChars="200"/>
        <w:rPr>
          <w:rFonts w:hint="eastAsia" w:ascii="Times New Roman" w:hAnsi="Times New Roman" w:eastAsia="仿宋"/>
          <w:bCs/>
          <w:sz w:val="32"/>
        </w:rPr>
      </w:pPr>
      <w:r>
        <w:rPr>
          <w:rFonts w:hint="eastAsia" w:ascii="Times New Roman" w:hAnsi="Times New Roman" w:eastAsia="仿宋"/>
          <w:bCs/>
          <w:sz w:val="32"/>
        </w:rPr>
        <w:t>上市公司控股股东、实际控制人通过北交所</w:t>
      </w:r>
      <w:r>
        <w:rPr>
          <w:rFonts w:hint="eastAsia" w:ascii="Times New Roman" w:hAnsi="Times New Roman" w:eastAsia="仿宋_GB2312"/>
          <w:sz w:val="32"/>
          <w:szCs w:val="32"/>
        </w:rPr>
        <w:t>协议转让</w:t>
      </w:r>
      <w:r>
        <w:rPr>
          <w:rFonts w:hint="eastAsia" w:ascii="Times New Roman" w:hAnsi="Times New Roman" w:eastAsia="仿宋"/>
          <w:bCs/>
          <w:sz w:val="32"/>
        </w:rPr>
        <w:t>减持其所持有的本公司股份的，</w:t>
      </w:r>
      <w:r>
        <w:rPr>
          <w:rFonts w:hint="eastAsia" w:ascii="Times New Roman" w:hAnsi="Times New Roman" w:eastAsia="仿宋_GB2312"/>
          <w:sz w:val="32"/>
          <w:szCs w:val="32"/>
        </w:rPr>
        <w:t>受让方应在受让后6个月内，比照控股股东、实际控制人，遵守第一款</w:t>
      </w:r>
      <w:r>
        <w:rPr>
          <w:rFonts w:hint="eastAsia" w:ascii="Times New Roman" w:hAnsi="Times New Roman" w:eastAsia="仿宋"/>
          <w:bCs/>
          <w:sz w:val="32"/>
        </w:rPr>
        <w:t>第一、二项有关规定</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
          <w:bCs/>
          <w:sz w:val="32"/>
        </w:rPr>
      </w:pPr>
      <w:r>
        <w:rPr>
          <w:rFonts w:hint="eastAsia" w:ascii="黑体" w:hAnsi="黑体" w:eastAsia="黑体"/>
          <w:sz w:val="32"/>
        </w:rPr>
        <w:t>第十一条</w:t>
      </w:r>
      <w:r>
        <w:rPr>
          <w:rFonts w:hint="eastAsia" w:ascii="Times New Roman" w:hAnsi="Times New Roman" w:eastAsia="仿宋"/>
          <w:b/>
          <w:sz w:val="32"/>
        </w:rPr>
        <w:t xml:space="preserve"> </w:t>
      </w:r>
      <w:r>
        <w:rPr>
          <w:rFonts w:hint="eastAsia" w:ascii="Times New Roman" w:hAnsi="Times New Roman" w:eastAsia="仿宋"/>
          <w:bCs/>
          <w:sz w:val="32"/>
        </w:rPr>
        <w:t>上市公司董监高具有下列情形之一的，不得减持其所持有的本公司股份：</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（一）因涉嫌证券期货违法犯罪，在被中国证监会及其派出机构立案调查或者被司法机关立案侦查期间，以及在行政处罚决定、刑事判决作出之后未满6个月的；</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（二）因违反本所规则，被本所公开谴责未满3个月的；</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（三）中国证监会及本所规定的其他情形。</w:t>
      </w:r>
    </w:p>
    <w:p>
      <w:pPr>
        <w:spacing w:line="600" w:lineRule="exact"/>
        <w:ind w:firstLine="640" w:firstLineChars="200"/>
        <w:rPr>
          <w:rFonts w:ascii="Times New Roman" w:hAnsi="Times New Roman" w:eastAsia="仿宋"/>
          <w:bCs/>
          <w:sz w:val="32"/>
        </w:rPr>
      </w:pPr>
      <w:r>
        <w:rPr>
          <w:rFonts w:hint="eastAsia" w:ascii="黑体" w:hAnsi="黑体" w:eastAsia="黑体"/>
          <w:sz w:val="32"/>
        </w:rPr>
        <w:t>第十二条</w:t>
      </w:r>
      <w:r>
        <w:rPr>
          <w:rFonts w:hint="eastAsia" w:ascii="Times New Roman" w:hAnsi="Times New Roman" w:eastAsia="仿宋"/>
          <w:b/>
          <w:sz w:val="32"/>
        </w:rPr>
        <w:t xml:space="preserve"> </w:t>
      </w:r>
      <w:r>
        <w:rPr>
          <w:rFonts w:hint="eastAsia" w:ascii="Times New Roman" w:hAnsi="Times New Roman" w:eastAsia="仿宋"/>
          <w:bCs/>
          <w:sz w:val="32"/>
        </w:rPr>
        <w:t>上市公司可能触及本所《上市规则》第十章规定的重大违法强制退市情形的，自相关行政处罚事先告知书或者司法裁判作出之日起至下列任一情形发生前，公司控股股东、实际控制人以及董监高不得减持公司股份：</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（一）公司股票终止上市并摘牌；</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（二）公司收到相关行政处罚决定或者人民法院司法裁判生效，显示公司未触及重大违法强制退市情形。</w:t>
      </w:r>
    </w:p>
    <w:p>
      <w:pPr>
        <w:spacing w:line="600" w:lineRule="exact"/>
        <w:ind w:firstLine="640" w:firstLineChars="200"/>
        <w:rPr>
          <w:rFonts w:ascii="Times New Roman" w:hAnsi="Times New Roman" w:eastAsia="仿宋"/>
          <w:bCs/>
          <w:sz w:val="32"/>
        </w:rPr>
      </w:pPr>
      <w:r>
        <w:rPr>
          <w:rFonts w:hint="eastAsia" w:ascii="黑体" w:hAnsi="黑体" w:eastAsia="黑体"/>
          <w:sz w:val="32"/>
        </w:rPr>
        <w:t>第十三条</w:t>
      </w:r>
      <w:r>
        <w:rPr>
          <w:rFonts w:hint="eastAsia" w:ascii="Times New Roman" w:hAnsi="Times New Roman" w:eastAsia="仿宋"/>
          <w:b/>
          <w:sz w:val="32"/>
        </w:rPr>
        <w:t xml:space="preserve"> </w:t>
      </w:r>
      <w:r>
        <w:rPr>
          <w:rFonts w:hint="eastAsia" w:ascii="Times New Roman" w:hAnsi="Times New Roman" w:eastAsia="仿宋"/>
          <w:bCs/>
          <w:sz w:val="32"/>
        </w:rPr>
        <w:t>上市公司董监高在任职期间每年转让的股份不得超过其所持本公司股份总数的25%，因司法强制执行、继承、遗赠、依法分割财产等导致股份变动的除外。</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上市公司董监高所持股份不超过1000股的，可一次全部转让，不受前款转让比例限制。</w:t>
      </w:r>
    </w:p>
    <w:p>
      <w:pPr>
        <w:spacing w:line="600" w:lineRule="exact"/>
        <w:ind w:firstLine="640" w:firstLineChars="200"/>
        <w:rPr>
          <w:rFonts w:ascii="Times New Roman" w:hAnsi="Times New Roman" w:eastAsia="仿宋"/>
          <w:bCs/>
          <w:sz w:val="32"/>
        </w:rPr>
      </w:pPr>
      <w:r>
        <w:rPr>
          <w:rFonts w:hint="eastAsia" w:ascii="黑体" w:hAnsi="黑体" w:eastAsia="黑体"/>
          <w:sz w:val="32"/>
        </w:rPr>
        <w:t>第十四条</w:t>
      </w:r>
      <w:r>
        <w:rPr>
          <w:rFonts w:hint="eastAsia" w:ascii="Times New Roman" w:hAnsi="Times New Roman" w:eastAsia="仿宋"/>
          <w:b/>
          <w:sz w:val="32"/>
        </w:rPr>
        <w:t xml:space="preserve"> </w:t>
      </w:r>
      <w:r>
        <w:rPr>
          <w:rFonts w:hint="eastAsia" w:ascii="Times New Roman" w:hAnsi="Times New Roman" w:eastAsia="仿宋"/>
          <w:bCs/>
          <w:sz w:val="32"/>
        </w:rPr>
        <w:t>上市公司董监高以上年末其所持股总数作为基数，计算其中可转让股份的数量；当年可转让但未转让的本公司股份，应当计入当年末其所持有本公司股份的总数，以该总数作为次年可转让股份的计算基数。</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因上市公司增发新股、实施股权激励，或因董监高在二级市场购买、可转债转股、期权行权等方式形成的各种年内新增股份，新增无限售条件股份当年可转让25%，新增有限售条件股份计入次年可转让股份的计算基数。</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因上市公司实施权益分派导致董监高所持本公司股份增加的，可同比例增加当年可转让数量。</w:t>
      </w:r>
    </w:p>
    <w:p>
      <w:pPr>
        <w:spacing w:line="600" w:lineRule="exact"/>
        <w:ind w:firstLine="640" w:firstLineChars="200"/>
        <w:rPr>
          <w:rFonts w:ascii="Times New Roman" w:hAnsi="Times New Roman" w:eastAsia="仿宋"/>
          <w:bCs/>
          <w:sz w:val="32"/>
        </w:rPr>
      </w:pPr>
      <w:r>
        <w:rPr>
          <w:rFonts w:hint="eastAsia" w:ascii="黑体" w:hAnsi="黑体" w:eastAsia="黑体"/>
          <w:sz w:val="32"/>
        </w:rPr>
        <w:t>第十五条</w:t>
      </w:r>
      <w:r>
        <w:rPr>
          <w:rFonts w:hint="eastAsia" w:ascii="Times New Roman" w:hAnsi="Times New Roman" w:eastAsia="仿宋"/>
          <w:b/>
          <w:sz w:val="32"/>
        </w:rPr>
        <w:t xml:space="preserve"> </w:t>
      </w:r>
      <w:r>
        <w:rPr>
          <w:rFonts w:hint="eastAsia" w:ascii="Times New Roman" w:hAnsi="Times New Roman" w:eastAsia="仿宋"/>
          <w:bCs/>
          <w:sz w:val="32"/>
        </w:rPr>
        <w:t>上市公司章程可以对董监高转让其所持本公司股份规定比本指引更长的禁止转让期间、更低的可转让股份比例或附加其他限制转让条件。</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上市公司应当制定专项制度，加强对董监高持有本公司股份及买卖本公司股票行为的申报、披露和监督。</w:t>
      </w:r>
    </w:p>
    <w:p>
      <w:pPr>
        <w:spacing w:line="600" w:lineRule="exact"/>
        <w:ind w:firstLine="640" w:firstLineChars="200"/>
        <w:rPr>
          <w:rFonts w:ascii="Times New Roman" w:hAnsi="Times New Roman" w:eastAsia="仿宋"/>
          <w:bCs/>
          <w:sz w:val="32"/>
        </w:rPr>
      </w:pPr>
      <w:r>
        <w:rPr>
          <w:rFonts w:hint="eastAsia" w:ascii="黑体" w:hAnsi="黑体" w:eastAsia="黑体"/>
          <w:sz w:val="32"/>
        </w:rPr>
        <w:t>第十六条</w:t>
      </w:r>
      <w:r>
        <w:rPr>
          <w:rFonts w:hint="eastAsia" w:ascii="Times New Roman" w:hAnsi="Times New Roman" w:eastAsia="仿宋"/>
          <w:b/>
          <w:sz w:val="32"/>
        </w:rPr>
        <w:t xml:space="preserve"> </w:t>
      </w:r>
      <w:r>
        <w:rPr>
          <w:rFonts w:hint="eastAsia" w:ascii="Times New Roman" w:hAnsi="Times New Roman" w:eastAsia="仿宋"/>
          <w:bCs/>
          <w:sz w:val="32"/>
        </w:rPr>
        <w:t>上市公司董监高所持本公司股份，是指登记在其名下的所有本公司股份。</w:t>
      </w:r>
    </w:p>
    <w:p>
      <w:pPr>
        <w:spacing w:line="600" w:lineRule="exact"/>
        <w:ind w:firstLine="640" w:firstLineChars="200"/>
        <w:rPr>
          <w:rFonts w:hint="eastAsia" w:ascii="Times New Roman" w:hAnsi="Times New Roman" w:eastAsia="仿宋"/>
          <w:sz w:val="32"/>
        </w:rPr>
      </w:pPr>
      <w:r>
        <w:rPr>
          <w:rFonts w:hint="eastAsia" w:ascii="黑体" w:hAnsi="黑体" w:eastAsia="黑体"/>
          <w:sz w:val="32"/>
        </w:rPr>
        <w:t>第十七条</w:t>
      </w:r>
      <w:r>
        <w:rPr>
          <w:rFonts w:hint="eastAsia" w:ascii="Times New Roman" w:hAnsi="Times New Roman" w:eastAsia="仿宋"/>
          <w:b/>
          <w:sz w:val="32"/>
        </w:rPr>
        <w:t xml:space="preserve"> </w:t>
      </w:r>
      <w:r>
        <w:rPr>
          <w:rFonts w:hint="eastAsia" w:ascii="Times New Roman" w:hAnsi="Times New Roman" w:eastAsia="仿宋"/>
          <w:sz w:val="32"/>
        </w:rPr>
        <w:t>上市公司股东所持股份应当与其一致行动人所持股份合并计算。一致行动人的认定适用《上市公司收购管理办法》规定。</w:t>
      </w:r>
    </w:p>
    <w:p>
      <w:pPr>
        <w:spacing w:line="600" w:lineRule="exact"/>
        <w:ind w:firstLine="640" w:firstLineChars="200"/>
        <w:rPr>
          <w:rFonts w:ascii="Times New Roman" w:hAnsi="Times New Roman" w:eastAsia="仿宋"/>
          <w:sz w:val="32"/>
        </w:rPr>
      </w:pPr>
      <w:r>
        <w:rPr>
          <w:rFonts w:hint="eastAsia" w:ascii="Times New Roman" w:hAnsi="Times New Roman" w:eastAsia="仿宋"/>
          <w:sz w:val="32"/>
        </w:rPr>
        <w:t>上市公司</w:t>
      </w:r>
      <w:r>
        <w:rPr>
          <w:rFonts w:hint="eastAsia" w:ascii="Times New Roman" w:hAnsi="Times New Roman" w:eastAsia="仿宋"/>
          <w:bCs/>
          <w:sz w:val="32"/>
        </w:rPr>
        <w:t>控股股东、实际控制人的一致行动人应遵守本指引关于控股股东、实际控制人减持股份的相关要求。</w:t>
      </w:r>
      <w:r>
        <w:rPr>
          <w:rFonts w:hint="eastAsia" w:ascii="Times New Roman" w:hAnsi="Times New Roman" w:eastAsia="仿宋"/>
          <w:sz w:val="32"/>
        </w:rPr>
        <w:t>股东单独持有或与其一致行动人持股合计达公司股份总数5%的，应遵守本指引关于大股东减持股份的相关要求。</w:t>
      </w:r>
    </w:p>
    <w:p>
      <w:pPr>
        <w:tabs>
          <w:tab w:val="left" w:pos="3993"/>
        </w:tabs>
        <w:spacing w:line="600" w:lineRule="exact"/>
        <w:ind w:firstLine="640" w:firstLineChars="200"/>
        <w:rPr>
          <w:rFonts w:hint="eastAsia" w:ascii="Times New Roman" w:hAnsi="Times New Roman" w:eastAsia="仿宋"/>
          <w:sz w:val="32"/>
        </w:rPr>
      </w:pPr>
      <w:r>
        <w:rPr>
          <w:rFonts w:hint="eastAsia" w:ascii="Times New Roman" w:hAnsi="Times New Roman" w:eastAsia="仿宋"/>
          <w:bCs/>
          <w:sz w:val="32"/>
        </w:rPr>
        <w:t>上市公司披露为无控股股东、实际控制人的，其第一大股东及第一大股东的实际控制人应当比照控股股东、实际控制人遵守相关规定。</w:t>
      </w:r>
    </w:p>
    <w:p>
      <w:pPr>
        <w:spacing w:line="600" w:lineRule="exact"/>
        <w:ind w:firstLine="640" w:firstLineChars="200"/>
        <w:rPr>
          <w:rFonts w:ascii="Times New Roman" w:hAnsi="Times New Roman" w:eastAsia="仿宋"/>
          <w:bCs/>
          <w:sz w:val="32"/>
        </w:rPr>
      </w:pPr>
      <w:r>
        <w:rPr>
          <w:rFonts w:hint="eastAsia" w:ascii="黑体" w:hAnsi="黑体" w:eastAsia="黑体"/>
          <w:sz w:val="32"/>
        </w:rPr>
        <w:t>第十八条</w:t>
      </w:r>
      <w:r>
        <w:rPr>
          <w:rFonts w:hint="eastAsia" w:ascii="Times New Roman" w:hAnsi="Times New Roman" w:eastAsia="仿宋"/>
          <w:b/>
          <w:sz w:val="32"/>
        </w:rPr>
        <w:t xml:space="preserve"> </w:t>
      </w:r>
      <w:r>
        <w:rPr>
          <w:rFonts w:hint="eastAsia" w:ascii="Times New Roman" w:hAnsi="Times New Roman" w:eastAsia="仿宋"/>
          <w:bCs/>
          <w:sz w:val="32"/>
        </w:rPr>
        <w:t>上市公司大股东、实际控制人、董监高应当按照本所规定的时间、方式报备个人信息和持有本公司股份的情况；上市公司大股东、实际控制人存在一致行动人的，应当及时填报和维护一致行动人信息。</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公司大股东、实际控制人、董监高应当保证本人申报信息的及时、真实、准确、完整。</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公司董监高所持本公司股份发生变动的，应当及时向公司报告并由公司在规定信息披露平台的专区披露，但因权益分派导致的变动除外。</w:t>
      </w:r>
    </w:p>
    <w:p>
      <w:pPr>
        <w:spacing w:line="600" w:lineRule="exact"/>
        <w:ind w:firstLine="640" w:firstLineChars="200"/>
        <w:rPr>
          <w:rFonts w:ascii="Times New Roman" w:hAnsi="Times New Roman" w:eastAsia="仿宋"/>
          <w:bCs/>
          <w:sz w:val="32"/>
        </w:rPr>
      </w:pPr>
      <w:r>
        <w:rPr>
          <w:rFonts w:hint="eastAsia" w:ascii="Times New Roman" w:hAnsi="Times New Roman" w:eastAsia="仿宋"/>
          <w:bCs/>
          <w:sz w:val="32"/>
        </w:rPr>
        <w:t>上市公司董事会秘书负责管理公司大股东、实际控制人及其一致行动人、董监高的身份及所持本公司股份的数据和信息，统一办理前述主体的个人信息申报，并定期检查前述主体买卖本公司股票的披露情况。</w:t>
      </w:r>
    </w:p>
    <w:p>
      <w:pPr>
        <w:spacing w:line="600" w:lineRule="exact"/>
        <w:ind w:firstLine="640" w:firstLineChars="200"/>
        <w:rPr>
          <w:rFonts w:hint="eastAsia" w:ascii="Times New Roman" w:hAnsi="Times New Roman" w:eastAsia="仿宋"/>
          <w:bCs/>
          <w:sz w:val="32"/>
        </w:rPr>
      </w:pPr>
      <w:r>
        <w:rPr>
          <w:rFonts w:hint="eastAsia" w:ascii="黑体" w:hAnsi="黑体" w:eastAsia="黑体"/>
          <w:sz w:val="32"/>
        </w:rPr>
        <w:t>第十九条</w:t>
      </w:r>
      <w:r>
        <w:rPr>
          <w:rFonts w:hint="eastAsia" w:ascii="Times New Roman" w:hAnsi="Times New Roman" w:eastAsia="仿宋"/>
          <w:b/>
          <w:sz w:val="32"/>
        </w:rPr>
        <w:t xml:space="preserve"> </w:t>
      </w:r>
      <w:r>
        <w:rPr>
          <w:rFonts w:hint="eastAsia" w:ascii="Times New Roman" w:hAnsi="Times New Roman" w:eastAsia="仿宋"/>
          <w:bCs/>
          <w:sz w:val="32"/>
        </w:rPr>
        <w:t>股东开立多个证券账户的，对各证券账户的持股合并计算；股东开立客户信用证券账户的，对客户信用证券账户与普通证券账户的持股合并计算。</w:t>
      </w:r>
    </w:p>
    <w:p>
      <w:pPr>
        <w:spacing w:line="600" w:lineRule="exact"/>
        <w:ind w:firstLine="640" w:firstLineChars="200"/>
        <w:rPr>
          <w:rFonts w:hint="eastAsia" w:ascii="Times New Roman" w:hAnsi="Times New Roman" w:eastAsia="仿宋"/>
          <w:bCs/>
          <w:sz w:val="32"/>
        </w:rPr>
      </w:pPr>
      <w:r>
        <w:rPr>
          <w:rFonts w:hint="eastAsia" w:ascii="Times New Roman" w:hAnsi="Times New Roman" w:eastAsia="仿宋"/>
          <w:bCs/>
          <w:sz w:val="32"/>
        </w:rPr>
        <w:t>因执行股权质押协议导致上市公司大股东股份被出售的，应当执行本指引关于股份减持的相关要求。</w:t>
      </w:r>
    </w:p>
    <w:p>
      <w:pPr>
        <w:spacing w:line="600" w:lineRule="exact"/>
        <w:ind w:firstLine="640" w:firstLineChars="200"/>
        <w:rPr>
          <w:rFonts w:ascii="Times New Roman" w:hAnsi="Times New Roman" w:eastAsia="仿宋"/>
          <w:color w:val="000000"/>
          <w:kern w:val="0"/>
          <w:sz w:val="32"/>
          <w:szCs w:val="24"/>
        </w:rPr>
      </w:pPr>
      <w:r>
        <w:rPr>
          <w:rFonts w:hint="eastAsia" w:ascii="黑体" w:hAnsi="黑体" w:eastAsia="黑体"/>
          <w:sz w:val="32"/>
        </w:rPr>
        <w:t xml:space="preserve">第二十条 </w:t>
      </w:r>
      <w:r>
        <w:rPr>
          <w:rFonts w:hint="eastAsia" w:ascii="Times New Roman" w:hAnsi="Times New Roman" w:eastAsia="仿宋"/>
          <w:color w:val="000000"/>
          <w:kern w:val="0"/>
          <w:sz w:val="32"/>
          <w:szCs w:val="24"/>
          <w:lang w:val="zh-CN"/>
        </w:rPr>
        <w:t>上市公司及相关主体违反本指引相关规定的，本所可以对上市公司及相关责任主体采取工作措施、自律监管措施或纪律处分。</w:t>
      </w:r>
    </w:p>
    <w:p>
      <w:pPr>
        <w:spacing w:line="600" w:lineRule="exact"/>
        <w:ind w:firstLine="640" w:firstLineChars="200"/>
        <w:rPr>
          <w:rFonts w:ascii="Times New Roman" w:hAnsi="Times New Roman" w:eastAsia="仿宋"/>
          <w:sz w:val="32"/>
        </w:rPr>
      </w:pPr>
      <w:r>
        <w:rPr>
          <w:rFonts w:hint="eastAsia" w:ascii="黑体" w:hAnsi="黑体" w:eastAsia="黑体"/>
          <w:sz w:val="32"/>
        </w:rPr>
        <w:t>第二十一条</w:t>
      </w:r>
      <w:r>
        <w:rPr>
          <w:rFonts w:hint="eastAsia" w:ascii="Times New Roman" w:hAnsi="Times New Roman" w:eastAsia="仿宋"/>
          <w:b/>
          <w:color w:val="000000"/>
          <w:kern w:val="0"/>
          <w:sz w:val="32"/>
          <w:szCs w:val="24"/>
          <w:lang w:val="zh-CN"/>
        </w:rPr>
        <w:t xml:space="preserve"> </w:t>
      </w:r>
      <w:r>
        <w:rPr>
          <w:rFonts w:hint="eastAsia" w:ascii="Times New Roman" w:hAnsi="Times New Roman" w:eastAsia="仿宋"/>
          <w:color w:val="000000"/>
          <w:kern w:val="0"/>
          <w:sz w:val="32"/>
          <w:szCs w:val="24"/>
          <w:lang w:val="zh-CN"/>
        </w:rPr>
        <w:t>本</w:t>
      </w:r>
      <w:r>
        <w:rPr>
          <w:rFonts w:ascii="Times New Roman" w:hAnsi="Times New Roman" w:eastAsia="仿宋"/>
          <w:color w:val="000000"/>
          <w:kern w:val="0"/>
          <w:sz w:val="32"/>
          <w:szCs w:val="24"/>
          <w:lang w:val="zh-CN"/>
        </w:rPr>
        <w:t>指引由本所</w:t>
      </w:r>
      <w:r>
        <w:rPr>
          <w:rFonts w:hint="eastAsia" w:ascii="Times New Roman" w:hAnsi="Times New Roman" w:eastAsia="仿宋"/>
          <w:color w:val="000000"/>
          <w:kern w:val="0"/>
          <w:sz w:val="32"/>
          <w:szCs w:val="24"/>
          <w:lang w:val="zh-CN"/>
        </w:rPr>
        <w:t>负责</w:t>
      </w:r>
      <w:r>
        <w:rPr>
          <w:rFonts w:ascii="Times New Roman" w:hAnsi="Times New Roman" w:eastAsia="仿宋"/>
          <w:color w:val="000000"/>
          <w:kern w:val="0"/>
          <w:sz w:val="32"/>
          <w:szCs w:val="24"/>
          <w:lang w:val="zh-CN"/>
        </w:rPr>
        <w:t>解释。</w:t>
      </w:r>
    </w:p>
    <w:p>
      <w:pPr>
        <w:spacing w:line="600" w:lineRule="exact"/>
        <w:ind w:firstLine="640" w:firstLineChars="200"/>
        <w:rPr>
          <w:rFonts w:ascii="Times New Roman" w:hAnsi="Times New Roman" w:eastAsia="仿宋"/>
          <w:sz w:val="32"/>
        </w:rPr>
      </w:pPr>
      <w:r>
        <w:rPr>
          <w:rFonts w:hint="eastAsia" w:ascii="黑体" w:hAnsi="黑体" w:eastAsia="黑体"/>
          <w:sz w:val="32"/>
        </w:rPr>
        <w:t>第二十二条</w:t>
      </w:r>
      <w:r>
        <w:rPr>
          <w:rFonts w:hint="eastAsia" w:ascii="Times New Roman" w:hAnsi="Times New Roman" w:eastAsia="仿宋"/>
          <w:b/>
          <w:color w:val="000000"/>
          <w:kern w:val="0"/>
          <w:sz w:val="32"/>
          <w:szCs w:val="24"/>
          <w:lang w:val="zh-CN"/>
        </w:rPr>
        <w:t xml:space="preserve"> </w:t>
      </w:r>
      <w:r>
        <w:rPr>
          <w:rFonts w:hint="eastAsia" w:ascii="Times New Roman" w:hAnsi="Times New Roman" w:eastAsia="仿宋"/>
          <w:sz w:val="32"/>
        </w:rPr>
        <w:t>本指引自</w:t>
      </w:r>
      <w:r>
        <w:rPr>
          <w:rFonts w:ascii="Times New Roman" w:hAnsi="Times New Roman" w:eastAsia="仿宋"/>
          <w:sz w:val="32"/>
        </w:rPr>
        <w:t>发布之日起施行。</w:t>
      </w:r>
    </w:p>
    <w:p>
      <w:pPr>
        <w:spacing w:line="280" w:lineRule="exact"/>
        <w:rPr>
          <w:rFonts w:ascii="Times New Roman" w:hAnsi="Times New Roman" w:eastAsia="方正仿宋简体"/>
          <w:sz w:val="30"/>
          <w:szCs w:val="30"/>
        </w:rPr>
      </w:pPr>
    </w:p>
    <w:p>
      <w:pPr>
        <w:spacing w:line="280" w:lineRule="exact"/>
        <w:rPr>
          <w:rFonts w:ascii="Times New Roman" w:hAnsi="Times New Roman" w:eastAsia="方正仿宋简体"/>
          <w:sz w:val="30"/>
          <w:szCs w:val="30"/>
        </w:rPr>
      </w:pPr>
    </w:p>
    <w:p>
      <w:pPr>
        <w:pStyle w:val="2"/>
        <w:rPr>
          <w:rFonts w:ascii="Times New Roman" w:hAnsi="Times New Roman" w:eastAsia="方正仿宋简体"/>
          <w:sz w:val="30"/>
          <w:szCs w:val="30"/>
        </w:rPr>
      </w:pPr>
    </w:p>
    <w:p>
      <w:pPr>
        <w:pStyle w:val="3"/>
        <w:rPr>
          <w:rFonts w:ascii="Times New Roman" w:hAnsi="Times New Roman" w:eastAsia="方正仿宋简体"/>
          <w:sz w:val="30"/>
          <w:szCs w:val="30"/>
        </w:rPr>
      </w:pPr>
    </w:p>
    <w:p>
      <w:pPr>
        <w:pStyle w:val="3"/>
        <w:rPr>
          <w:rFonts w:hint="eastAsia"/>
        </w:rPr>
      </w:pPr>
    </w:p>
    <w:p>
      <w:pPr>
        <w:pStyle w:val="2"/>
      </w:pPr>
    </w:p>
    <w:p>
      <w:pPr>
        <w:pStyle w:val="3"/>
      </w:pPr>
    </w:p>
    <w:p>
      <w:pPr>
        <w:spacing w:line="60" w:lineRule="exact"/>
      </w:pPr>
    </w:p>
    <w:p>
      <w:pPr>
        <w:spacing w:line="60" w:lineRule="exact"/>
      </w:pPr>
    </w:p>
    <w:p>
      <w:pPr>
        <w:snapToGrid w:val="0"/>
        <w:spacing w:line="400" w:lineRule="exact"/>
        <w:rPr>
          <w:rFonts w:ascii="Times New Roman" w:hAnsi="Times New Roman" w:eastAsia="仿宋"/>
          <w:sz w:val="28"/>
          <w:szCs w:val="28"/>
        </w:rPr>
      </w:pPr>
      <w:bookmarkStart w:id="0" w:name="_GoBack"/>
      <w:bookmarkEnd w:id="0"/>
    </w:p>
    <w:sectPr>
      <w:footerReference r:id="rId3" w:type="default"/>
      <w:footerReference r:id="rId4" w:type="even"/>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509888"/>
    </w:sdtPr>
    <w:sdtEndPr>
      <w:rPr>
        <w:rFonts w:asciiTheme="minorEastAsia" w:hAnsiTheme="minorEastAsia" w:eastAsiaTheme="minorEastAsia"/>
        <w:sz w:val="28"/>
        <w:szCs w:val="28"/>
      </w:rPr>
    </w:sdtEndPr>
    <w:sdtContent>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239689"/>
    </w:sdtPr>
    <w:sdtEndPr>
      <w:rPr>
        <w:rFonts w:asciiTheme="minorEastAsia" w:hAnsiTheme="minorEastAsia" w:eastAsiaTheme="minorEastAsia"/>
        <w:sz w:val="28"/>
        <w:szCs w:val="28"/>
      </w:rPr>
    </w:sdtEndPr>
    <w:sdtContent>
      <w:p>
        <w:pPr>
          <w:pStyle w:val="7"/>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6 -</w:t>
        </w:r>
        <w:r>
          <w:rPr>
            <w:rFonts w:asciiTheme="minorEastAsia" w:hAnsiTheme="minorEastAsia" w:eastAsiaTheme="minorEastAsia"/>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1132B"/>
    <w:rsid w:val="000114CC"/>
    <w:rsid w:val="0001279E"/>
    <w:rsid w:val="00013FD4"/>
    <w:rsid w:val="000140A5"/>
    <w:rsid w:val="00023393"/>
    <w:rsid w:val="00023918"/>
    <w:rsid w:val="000253C4"/>
    <w:rsid w:val="00027677"/>
    <w:rsid w:val="00030254"/>
    <w:rsid w:val="0003177A"/>
    <w:rsid w:val="00031819"/>
    <w:rsid w:val="0003452A"/>
    <w:rsid w:val="00034CB4"/>
    <w:rsid w:val="00034DC5"/>
    <w:rsid w:val="000350FA"/>
    <w:rsid w:val="00036093"/>
    <w:rsid w:val="00040339"/>
    <w:rsid w:val="000406E0"/>
    <w:rsid w:val="00040A29"/>
    <w:rsid w:val="00042AA7"/>
    <w:rsid w:val="000464E4"/>
    <w:rsid w:val="0004678F"/>
    <w:rsid w:val="000501AA"/>
    <w:rsid w:val="000515D0"/>
    <w:rsid w:val="000530B5"/>
    <w:rsid w:val="00057221"/>
    <w:rsid w:val="000614F2"/>
    <w:rsid w:val="00061835"/>
    <w:rsid w:val="00070A1C"/>
    <w:rsid w:val="00070EF4"/>
    <w:rsid w:val="00073313"/>
    <w:rsid w:val="00075DDE"/>
    <w:rsid w:val="000770D6"/>
    <w:rsid w:val="00077B36"/>
    <w:rsid w:val="00087D53"/>
    <w:rsid w:val="00090A5F"/>
    <w:rsid w:val="000914B4"/>
    <w:rsid w:val="00092880"/>
    <w:rsid w:val="00093565"/>
    <w:rsid w:val="00093666"/>
    <w:rsid w:val="000979F3"/>
    <w:rsid w:val="000B1D18"/>
    <w:rsid w:val="000B2000"/>
    <w:rsid w:val="000B3F90"/>
    <w:rsid w:val="000B4853"/>
    <w:rsid w:val="000B52DC"/>
    <w:rsid w:val="000B5EAA"/>
    <w:rsid w:val="000C446C"/>
    <w:rsid w:val="000C6818"/>
    <w:rsid w:val="000D7B7F"/>
    <w:rsid w:val="000E6E4C"/>
    <w:rsid w:val="000E72C9"/>
    <w:rsid w:val="000E72D0"/>
    <w:rsid w:val="000F0DC4"/>
    <w:rsid w:val="000F1B08"/>
    <w:rsid w:val="000F2D51"/>
    <w:rsid w:val="000F315B"/>
    <w:rsid w:val="000F593E"/>
    <w:rsid w:val="00104023"/>
    <w:rsid w:val="0010434B"/>
    <w:rsid w:val="0010613F"/>
    <w:rsid w:val="00110389"/>
    <w:rsid w:val="00111415"/>
    <w:rsid w:val="001136DB"/>
    <w:rsid w:val="00113E16"/>
    <w:rsid w:val="001152C2"/>
    <w:rsid w:val="00116D3E"/>
    <w:rsid w:val="00117488"/>
    <w:rsid w:val="00121BFE"/>
    <w:rsid w:val="0012224F"/>
    <w:rsid w:val="00126771"/>
    <w:rsid w:val="00126F8E"/>
    <w:rsid w:val="00130AC5"/>
    <w:rsid w:val="00131C2F"/>
    <w:rsid w:val="00131FD5"/>
    <w:rsid w:val="00131FE7"/>
    <w:rsid w:val="001351B4"/>
    <w:rsid w:val="00136A16"/>
    <w:rsid w:val="00137C57"/>
    <w:rsid w:val="00140260"/>
    <w:rsid w:val="001421AB"/>
    <w:rsid w:val="00142A8D"/>
    <w:rsid w:val="0014751A"/>
    <w:rsid w:val="00150C13"/>
    <w:rsid w:val="0015190D"/>
    <w:rsid w:val="001525AB"/>
    <w:rsid w:val="00154EFD"/>
    <w:rsid w:val="00155052"/>
    <w:rsid w:val="001559C9"/>
    <w:rsid w:val="0016074F"/>
    <w:rsid w:val="001608C8"/>
    <w:rsid w:val="00160BF3"/>
    <w:rsid w:val="00165E5A"/>
    <w:rsid w:val="00170F03"/>
    <w:rsid w:val="001732C7"/>
    <w:rsid w:val="001751C9"/>
    <w:rsid w:val="00177DEB"/>
    <w:rsid w:val="0018408C"/>
    <w:rsid w:val="00184F1F"/>
    <w:rsid w:val="001856EA"/>
    <w:rsid w:val="0018614E"/>
    <w:rsid w:val="00186237"/>
    <w:rsid w:val="001868F6"/>
    <w:rsid w:val="0019258E"/>
    <w:rsid w:val="001931B8"/>
    <w:rsid w:val="00194F2E"/>
    <w:rsid w:val="00196309"/>
    <w:rsid w:val="001A0309"/>
    <w:rsid w:val="001A4206"/>
    <w:rsid w:val="001A5588"/>
    <w:rsid w:val="001B041D"/>
    <w:rsid w:val="001B0CD9"/>
    <w:rsid w:val="001B6DFE"/>
    <w:rsid w:val="001B73AB"/>
    <w:rsid w:val="001B7CCF"/>
    <w:rsid w:val="001C236E"/>
    <w:rsid w:val="001C3A53"/>
    <w:rsid w:val="001C3B47"/>
    <w:rsid w:val="001C4F64"/>
    <w:rsid w:val="001C7F38"/>
    <w:rsid w:val="001D11CB"/>
    <w:rsid w:val="001D11E3"/>
    <w:rsid w:val="001D1DB2"/>
    <w:rsid w:val="001D2CDF"/>
    <w:rsid w:val="001E0B46"/>
    <w:rsid w:val="001E0D34"/>
    <w:rsid w:val="001E6EB7"/>
    <w:rsid w:val="001E73D1"/>
    <w:rsid w:val="001F09A0"/>
    <w:rsid w:val="001F0B06"/>
    <w:rsid w:val="001F1813"/>
    <w:rsid w:val="001F22B9"/>
    <w:rsid w:val="001F2C66"/>
    <w:rsid w:val="001F5720"/>
    <w:rsid w:val="00200160"/>
    <w:rsid w:val="00201401"/>
    <w:rsid w:val="00201CDB"/>
    <w:rsid w:val="00203CC3"/>
    <w:rsid w:val="00203EFD"/>
    <w:rsid w:val="00205457"/>
    <w:rsid w:val="00207C88"/>
    <w:rsid w:val="002124CB"/>
    <w:rsid w:val="00213109"/>
    <w:rsid w:val="0021481E"/>
    <w:rsid w:val="002152AF"/>
    <w:rsid w:val="00215932"/>
    <w:rsid w:val="00215A3B"/>
    <w:rsid w:val="002205CB"/>
    <w:rsid w:val="002223D6"/>
    <w:rsid w:val="002233E0"/>
    <w:rsid w:val="00224B26"/>
    <w:rsid w:val="002271A7"/>
    <w:rsid w:val="002333E3"/>
    <w:rsid w:val="00236755"/>
    <w:rsid w:val="00236833"/>
    <w:rsid w:val="002473F6"/>
    <w:rsid w:val="0025096D"/>
    <w:rsid w:val="00251293"/>
    <w:rsid w:val="002536E0"/>
    <w:rsid w:val="00254F5B"/>
    <w:rsid w:val="00255F48"/>
    <w:rsid w:val="002566F5"/>
    <w:rsid w:val="00256738"/>
    <w:rsid w:val="0025678A"/>
    <w:rsid w:val="00256A8B"/>
    <w:rsid w:val="00260853"/>
    <w:rsid w:val="00264360"/>
    <w:rsid w:val="00267C14"/>
    <w:rsid w:val="00271211"/>
    <w:rsid w:val="002730B4"/>
    <w:rsid w:val="002735E0"/>
    <w:rsid w:val="00280A80"/>
    <w:rsid w:val="0028118C"/>
    <w:rsid w:val="00283F11"/>
    <w:rsid w:val="002942FD"/>
    <w:rsid w:val="00296704"/>
    <w:rsid w:val="00297E79"/>
    <w:rsid w:val="002A0CDE"/>
    <w:rsid w:val="002A1318"/>
    <w:rsid w:val="002A5EE4"/>
    <w:rsid w:val="002B12F6"/>
    <w:rsid w:val="002B4533"/>
    <w:rsid w:val="002B4CE7"/>
    <w:rsid w:val="002B531D"/>
    <w:rsid w:val="002B5C1B"/>
    <w:rsid w:val="002B66C4"/>
    <w:rsid w:val="002B69F3"/>
    <w:rsid w:val="002C0DC9"/>
    <w:rsid w:val="002C1F53"/>
    <w:rsid w:val="002C3192"/>
    <w:rsid w:val="002C4D50"/>
    <w:rsid w:val="002D06DE"/>
    <w:rsid w:val="002D3F1F"/>
    <w:rsid w:val="002E0200"/>
    <w:rsid w:val="002E0937"/>
    <w:rsid w:val="002F1E6E"/>
    <w:rsid w:val="002F3353"/>
    <w:rsid w:val="002F4FBB"/>
    <w:rsid w:val="002F6091"/>
    <w:rsid w:val="002F67FE"/>
    <w:rsid w:val="0030322B"/>
    <w:rsid w:val="00306CA9"/>
    <w:rsid w:val="0031218F"/>
    <w:rsid w:val="00312E97"/>
    <w:rsid w:val="00313721"/>
    <w:rsid w:val="003138A7"/>
    <w:rsid w:val="0032130E"/>
    <w:rsid w:val="00323369"/>
    <w:rsid w:val="00323A6D"/>
    <w:rsid w:val="00326C44"/>
    <w:rsid w:val="00326E84"/>
    <w:rsid w:val="00327855"/>
    <w:rsid w:val="003325EB"/>
    <w:rsid w:val="0033366F"/>
    <w:rsid w:val="00333E25"/>
    <w:rsid w:val="00336460"/>
    <w:rsid w:val="00336C12"/>
    <w:rsid w:val="003375BE"/>
    <w:rsid w:val="00337714"/>
    <w:rsid w:val="0034018B"/>
    <w:rsid w:val="003413FE"/>
    <w:rsid w:val="00343C07"/>
    <w:rsid w:val="0034410B"/>
    <w:rsid w:val="00344237"/>
    <w:rsid w:val="00346C39"/>
    <w:rsid w:val="00350D51"/>
    <w:rsid w:val="00351852"/>
    <w:rsid w:val="003523D3"/>
    <w:rsid w:val="00353031"/>
    <w:rsid w:val="00353B57"/>
    <w:rsid w:val="00356570"/>
    <w:rsid w:val="00362652"/>
    <w:rsid w:val="00362860"/>
    <w:rsid w:val="00365AE1"/>
    <w:rsid w:val="00365CEC"/>
    <w:rsid w:val="00373B5F"/>
    <w:rsid w:val="003810B0"/>
    <w:rsid w:val="00383400"/>
    <w:rsid w:val="00391E10"/>
    <w:rsid w:val="003941C0"/>
    <w:rsid w:val="003A0328"/>
    <w:rsid w:val="003A0961"/>
    <w:rsid w:val="003A2E2D"/>
    <w:rsid w:val="003B0326"/>
    <w:rsid w:val="003B4EDD"/>
    <w:rsid w:val="003B5FCF"/>
    <w:rsid w:val="003B7243"/>
    <w:rsid w:val="003C0078"/>
    <w:rsid w:val="003C0372"/>
    <w:rsid w:val="003C2E72"/>
    <w:rsid w:val="003C4AFF"/>
    <w:rsid w:val="003C64F5"/>
    <w:rsid w:val="003C70C1"/>
    <w:rsid w:val="003D0861"/>
    <w:rsid w:val="003D2796"/>
    <w:rsid w:val="003D3C08"/>
    <w:rsid w:val="003D48CA"/>
    <w:rsid w:val="003D4B63"/>
    <w:rsid w:val="003D71BB"/>
    <w:rsid w:val="003D7933"/>
    <w:rsid w:val="003E215D"/>
    <w:rsid w:val="003E3337"/>
    <w:rsid w:val="003E6343"/>
    <w:rsid w:val="003E75A9"/>
    <w:rsid w:val="00405C7A"/>
    <w:rsid w:val="004073C0"/>
    <w:rsid w:val="00410467"/>
    <w:rsid w:val="004112D7"/>
    <w:rsid w:val="004155EF"/>
    <w:rsid w:val="00415930"/>
    <w:rsid w:val="00422DFD"/>
    <w:rsid w:val="004248AD"/>
    <w:rsid w:val="00425659"/>
    <w:rsid w:val="004258CD"/>
    <w:rsid w:val="00431C10"/>
    <w:rsid w:val="00432FC0"/>
    <w:rsid w:val="004412FE"/>
    <w:rsid w:val="00441CF2"/>
    <w:rsid w:val="00447E4C"/>
    <w:rsid w:val="00447EB8"/>
    <w:rsid w:val="00453ED7"/>
    <w:rsid w:val="00457E95"/>
    <w:rsid w:val="00460DF6"/>
    <w:rsid w:val="004629E8"/>
    <w:rsid w:val="00462D27"/>
    <w:rsid w:val="004636C3"/>
    <w:rsid w:val="00464262"/>
    <w:rsid w:val="004667C6"/>
    <w:rsid w:val="00466D70"/>
    <w:rsid w:val="0047156C"/>
    <w:rsid w:val="004720FD"/>
    <w:rsid w:val="00475B2E"/>
    <w:rsid w:val="00475E36"/>
    <w:rsid w:val="00480718"/>
    <w:rsid w:val="00481C27"/>
    <w:rsid w:val="004907BB"/>
    <w:rsid w:val="00492779"/>
    <w:rsid w:val="00492F1F"/>
    <w:rsid w:val="00497A41"/>
    <w:rsid w:val="004B16F2"/>
    <w:rsid w:val="004B54A2"/>
    <w:rsid w:val="004B58F2"/>
    <w:rsid w:val="004B7ECC"/>
    <w:rsid w:val="004C012F"/>
    <w:rsid w:val="004C1CFB"/>
    <w:rsid w:val="004C3960"/>
    <w:rsid w:val="004C3E8D"/>
    <w:rsid w:val="004C4091"/>
    <w:rsid w:val="004C7017"/>
    <w:rsid w:val="004D0513"/>
    <w:rsid w:val="004D4298"/>
    <w:rsid w:val="004E0EFA"/>
    <w:rsid w:val="004E2F19"/>
    <w:rsid w:val="004E6730"/>
    <w:rsid w:val="004F0718"/>
    <w:rsid w:val="004F22C0"/>
    <w:rsid w:val="004F44A2"/>
    <w:rsid w:val="0050023A"/>
    <w:rsid w:val="00502293"/>
    <w:rsid w:val="00504A9C"/>
    <w:rsid w:val="005145C1"/>
    <w:rsid w:val="00516D22"/>
    <w:rsid w:val="0052009E"/>
    <w:rsid w:val="005233D2"/>
    <w:rsid w:val="00530DC9"/>
    <w:rsid w:val="00533ACC"/>
    <w:rsid w:val="00536258"/>
    <w:rsid w:val="00541D59"/>
    <w:rsid w:val="0054351C"/>
    <w:rsid w:val="0054585A"/>
    <w:rsid w:val="0055358F"/>
    <w:rsid w:val="00556F11"/>
    <w:rsid w:val="005607CD"/>
    <w:rsid w:val="005609C4"/>
    <w:rsid w:val="00567CB8"/>
    <w:rsid w:val="00570CB3"/>
    <w:rsid w:val="00570F99"/>
    <w:rsid w:val="00572286"/>
    <w:rsid w:val="005727F7"/>
    <w:rsid w:val="00574BA1"/>
    <w:rsid w:val="00575CD8"/>
    <w:rsid w:val="00577ABC"/>
    <w:rsid w:val="00581DEA"/>
    <w:rsid w:val="00583A82"/>
    <w:rsid w:val="00586313"/>
    <w:rsid w:val="00590FC5"/>
    <w:rsid w:val="00591B1A"/>
    <w:rsid w:val="005933D0"/>
    <w:rsid w:val="00594182"/>
    <w:rsid w:val="00594416"/>
    <w:rsid w:val="00594610"/>
    <w:rsid w:val="00594CDC"/>
    <w:rsid w:val="0059595B"/>
    <w:rsid w:val="005A16C3"/>
    <w:rsid w:val="005A4BF4"/>
    <w:rsid w:val="005B1BD5"/>
    <w:rsid w:val="005C235F"/>
    <w:rsid w:val="005C3297"/>
    <w:rsid w:val="005C3D38"/>
    <w:rsid w:val="005C4C02"/>
    <w:rsid w:val="005C7B94"/>
    <w:rsid w:val="005D0783"/>
    <w:rsid w:val="005D14A4"/>
    <w:rsid w:val="005D5157"/>
    <w:rsid w:val="005D5E84"/>
    <w:rsid w:val="005E5FC8"/>
    <w:rsid w:val="005E7889"/>
    <w:rsid w:val="005F65B0"/>
    <w:rsid w:val="006108D0"/>
    <w:rsid w:val="0061216D"/>
    <w:rsid w:val="00612EFA"/>
    <w:rsid w:val="006144BA"/>
    <w:rsid w:val="00617D4B"/>
    <w:rsid w:val="00617F1A"/>
    <w:rsid w:val="006238B2"/>
    <w:rsid w:val="0063018A"/>
    <w:rsid w:val="0063103E"/>
    <w:rsid w:val="00634293"/>
    <w:rsid w:val="006413D2"/>
    <w:rsid w:val="00642348"/>
    <w:rsid w:val="00642FB4"/>
    <w:rsid w:val="00646FD2"/>
    <w:rsid w:val="006508A5"/>
    <w:rsid w:val="006541B9"/>
    <w:rsid w:val="0065557B"/>
    <w:rsid w:val="006569F3"/>
    <w:rsid w:val="006577F3"/>
    <w:rsid w:val="00661591"/>
    <w:rsid w:val="006716AD"/>
    <w:rsid w:val="006736BE"/>
    <w:rsid w:val="00680308"/>
    <w:rsid w:val="006805CB"/>
    <w:rsid w:val="006821AC"/>
    <w:rsid w:val="00686D70"/>
    <w:rsid w:val="00690B4E"/>
    <w:rsid w:val="006953A0"/>
    <w:rsid w:val="00695889"/>
    <w:rsid w:val="006A1A60"/>
    <w:rsid w:val="006A4000"/>
    <w:rsid w:val="006A6C9A"/>
    <w:rsid w:val="006A6FE1"/>
    <w:rsid w:val="006B7D6D"/>
    <w:rsid w:val="006C0352"/>
    <w:rsid w:val="006C2998"/>
    <w:rsid w:val="006C2BCD"/>
    <w:rsid w:val="006C310F"/>
    <w:rsid w:val="006C317B"/>
    <w:rsid w:val="006C7D19"/>
    <w:rsid w:val="006D1144"/>
    <w:rsid w:val="006D4341"/>
    <w:rsid w:val="006D6786"/>
    <w:rsid w:val="006D6BD1"/>
    <w:rsid w:val="006D76DE"/>
    <w:rsid w:val="006E0452"/>
    <w:rsid w:val="006E15D4"/>
    <w:rsid w:val="006E64AE"/>
    <w:rsid w:val="006F7B98"/>
    <w:rsid w:val="00704DC6"/>
    <w:rsid w:val="00710B19"/>
    <w:rsid w:val="00713C6F"/>
    <w:rsid w:val="007141B1"/>
    <w:rsid w:val="00717741"/>
    <w:rsid w:val="00720C37"/>
    <w:rsid w:val="00721DDC"/>
    <w:rsid w:val="00722126"/>
    <w:rsid w:val="00723551"/>
    <w:rsid w:val="007278F1"/>
    <w:rsid w:val="007305A6"/>
    <w:rsid w:val="0073094A"/>
    <w:rsid w:val="00731F38"/>
    <w:rsid w:val="00732954"/>
    <w:rsid w:val="00736F93"/>
    <w:rsid w:val="00737013"/>
    <w:rsid w:val="00737CCC"/>
    <w:rsid w:val="00740DD6"/>
    <w:rsid w:val="00744509"/>
    <w:rsid w:val="00745551"/>
    <w:rsid w:val="0074587C"/>
    <w:rsid w:val="00745C48"/>
    <w:rsid w:val="00750653"/>
    <w:rsid w:val="007506D8"/>
    <w:rsid w:val="00755883"/>
    <w:rsid w:val="0076142A"/>
    <w:rsid w:val="0076251E"/>
    <w:rsid w:val="00765B6D"/>
    <w:rsid w:val="007665B5"/>
    <w:rsid w:val="00767AFC"/>
    <w:rsid w:val="00774792"/>
    <w:rsid w:val="007774B2"/>
    <w:rsid w:val="007810C5"/>
    <w:rsid w:val="00783A24"/>
    <w:rsid w:val="007860BF"/>
    <w:rsid w:val="00787625"/>
    <w:rsid w:val="00787B9B"/>
    <w:rsid w:val="00790165"/>
    <w:rsid w:val="00790292"/>
    <w:rsid w:val="0079388D"/>
    <w:rsid w:val="00795E0F"/>
    <w:rsid w:val="007A12DA"/>
    <w:rsid w:val="007A45EB"/>
    <w:rsid w:val="007A4B06"/>
    <w:rsid w:val="007A5539"/>
    <w:rsid w:val="007A5C77"/>
    <w:rsid w:val="007A63A3"/>
    <w:rsid w:val="007B38C0"/>
    <w:rsid w:val="007B4891"/>
    <w:rsid w:val="007C1FE2"/>
    <w:rsid w:val="007C29AF"/>
    <w:rsid w:val="007C2D4E"/>
    <w:rsid w:val="007C3CA2"/>
    <w:rsid w:val="007C52F0"/>
    <w:rsid w:val="007D0836"/>
    <w:rsid w:val="007D0AB3"/>
    <w:rsid w:val="007D3F31"/>
    <w:rsid w:val="007D64B2"/>
    <w:rsid w:val="007D64B8"/>
    <w:rsid w:val="007E344F"/>
    <w:rsid w:val="007E3749"/>
    <w:rsid w:val="007E3DA1"/>
    <w:rsid w:val="007E57E1"/>
    <w:rsid w:val="007E6A98"/>
    <w:rsid w:val="007E767D"/>
    <w:rsid w:val="007F0069"/>
    <w:rsid w:val="007F306F"/>
    <w:rsid w:val="007F467E"/>
    <w:rsid w:val="007F46F5"/>
    <w:rsid w:val="007F7F67"/>
    <w:rsid w:val="00800A66"/>
    <w:rsid w:val="0080230B"/>
    <w:rsid w:val="008046FA"/>
    <w:rsid w:val="0080612C"/>
    <w:rsid w:val="008065A4"/>
    <w:rsid w:val="008152CC"/>
    <w:rsid w:val="00825CAE"/>
    <w:rsid w:val="00830314"/>
    <w:rsid w:val="00834D8B"/>
    <w:rsid w:val="00835998"/>
    <w:rsid w:val="00836BAD"/>
    <w:rsid w:val="00841DC6"/>
    <w:rsid w:val="00842A70"/>
    <w:rsid w:val="00843B57"/>
    <w:rsid w:val="00850265"/>
    <w:rsid w:val="008516C1"/>
    <w:rsid w:val="00852B07"/>
    <w:rsid w:val="008566B7"/>
    <w:rsid w:val="00860654"/>
    <w:rsid w:val="00864DCA"/>
    <w:rsid w:val="00864EE1"/>
    <w:rsid w:val="008654AF"/>
    <w:rsid w:val="00865B27"/>
    <w:rsid w:val="008673CB"/>
    <w:rsid w:val="00870868"/>
    <w:rsid w:val="008712CC"/>
    <w:rsid w:val="00871AEB"/>
    <w:rsid w:val="008727F2"/>
    <w:rsid w:val="00872DE7"/>
    <w:rsid w:val="00875140"/>
    <w:rsid w:val="008815F8"/>
    <w:rsid w:val="00881BF1"/>
    <w:rsid w:val="00881CDE"/>
    <w:rsid w:val="00885B5F"/>
    <w:rsid w:val="00885F71"/>
    <w:rsid w:val="00886C8F"/>
    <w:rsid w:val="00893150"/>
    <w:rsid w:val="00893929"/>
    <w:rsid w:val="00896F9A"/>
    <w:rsid w:val="008973DA"/>
    <w:rsid w:val="008A0792"/>
    <w:rsid w:val="008A0BC2"/>
    <w:rsid w:val="008A48B5"/>
    <w:rsid w:val="008B2857"/>
    <w:rsid w:val="008B3A38"/>
    <w:rsid w:val="008C0B07"/>
    <w:rsid w:val="008C314A"/>
    <w:rsid w:val="008C3177"/>
    <w:rsid w:val="008C5972"/>
    <w:rsid w:val="008C643D"/>
    <w:rsid w:val="008C78D2"/>
    <w:rsid w:val="008D243A"/>
    <w:rsid w:val="008D3296"/>
    <w:rsid w:val="008D6A5A"/>
    <w:rsid w:val="008E2016"/>
    <w:rsid w:val="008F2904"/>
    <w:rsid w:val="008F6491"/>
    <w:rsid w:val="008F7A96"/>
    <w:rsid w:val="00910FAB"/>
    <w:rsid w:val="00914F96"/>
    <w:rsid w:val="009158B6"/>
    <w:rsid w:val="00917C4C"/>
    <w:rsid w:val="00920576"/>
    <w:rsid w:val="00920711"/>
    <w:rsid w:val="0092123C"/>
    <w:rsid w:val="00921986"/>
    <w:rsid w:val="009220EE"/>
    <w:rsid w:val="0092461F"/>
    <w:rsid w:val="00924664"/>
    <w:rsid w:val="00925244"/>
    <w:rsid w:val="009356C9"/>
    <w:rsid w:val="00936B1C"/>
    <w:rsid w:val="009428CB"/>
    <w:rsid w:val="00947A56"/>
    <w:rsid w:val="00950FDE"/>
    <w:rsid w:val="009526E9"/>
    <w:rsid w:val="00953670"/>
    <w:rsid w:val="00955FFB"/>
    <w:rsid w:val="009624C9"/>
    <w:rsid w:val="00971C61"/>
    <w:rsid w:val="009747FB"/>
    <w:rsid w:val="00975561"/>
    <w:rsid w:val="00976507"/>
    <w:rsid w:val="0097736B"/>
    <w:rsid w:val="00980D21"/>
    <w:rsid w:val="00983F9F"/>
    <w:rsid w:val="009939B0"/>
    <w:rsid w:val="009964EB"/>
    <w:rsid w:val="0099784B"/>
    <w:rsid w:val="009A61C3"/>
    <w:rsid w:val="009B15F9"/>
    <w:rsid w:val="009B2D02"/>
    <w:rsid w:val="009B470E"/>
    <w:rsid w:val="009C35E2"/>
    <w:rsid w:val="009C4955"/>
    <w:rsid w:val="009C7AF2"/>
    <w:rsid w:val="009D118D"/>
    <w:rsid w:val="009D16A1"/>
    <w:rsid w:val="009D1701"/>
    <w:rsid w:val="009D6D6F"/>
    <w:rsid w:val="009E109F"/>
    <w:rsid w:val="009E2352"/>
    <w:rsid w:val="009E2EEF"/>
    <w:rsid w:val="009E3451"/>
    <w:rsid w:val="009E65FD"/>
    <w:rsid w:val="009F0843"/>
    <w:rsid w:val="009F68D1"/>
    <w:rsid w:val="00A00F12"/>
    <w:rsid w:val="00A0147F"/>
    <w:rsid w:val="00A047F9"/>
    <w:rsid w:val="00A0639E"/>
    <w:rsid w:val="00A10575"/>
    <w:rsid w:val="00A10B71"/>
    <w:rsid w:val="00A115FB"/>
    <w:rsid w:val="00A11E0C"/>
    <w:rsid w:val="00A17BBA"/>
    <w:rsid w:val="00A2109A"/>
    <w:rsid w:val="00A21B31"/>
    <w:rsid w:val="00A221DA"/>
    <w:rsid w:val="00A2464B"/>
    <w:rsid w:val="00A254DD"/>
    <w:rsid w:val="00A302D2"/>
    <w:rsid w:val="00A31158"/>
    <w:rsid w:val="00A3154C"/>
    <w:rsid w:val="00A31C6A"/>
    <w:rsid w:val="00A3678B"/>
    <w:rsid w:val="00A42557"/>
    <w:rsid w:val="00A44897"/>
    <w:rsid w:val="00A45E54"/>
    <w:rsid w:val="00A478DB"/>
    <w:rsid w:val="00A52365"/>
    <w:rsid w:val="00A53357"/>
    <w:rsid w:val="00A53DA2"/>
    <w:rsid w:val="00A5457E"/>
    <w:rsid w:val="00A54947"/>
    <w:rsid w:val="00A577CA"/>
    <w:rsid w:val="00A617CC"/>
    <w:rsid w:val="00A63BB6"/>
    <w:rsid w:val="00A7779F"/>
    <w:rsid w:val="00A80D85"/>
    <w:rsid w:val="00A8169B"/>
    <w:rsid w:val="00A81700"/>
    <w:rsid w:val="00A954B5"/>
    <w:rsid w:val="00A95C10"/>
    <w:rsid w:val="00AA37F0"/>
    <w:rsid w:val="00AA510C"/>
    <w:rsid w:val="00AA6D90"/>
    <w:rsid w:val="00AB06D8"/>
    <w:rsid w:val="00AB4FB8"/>
    <w:rsid w:val="00AD040F"/>
    <w:rsid w:val="00AD197C"/>
    <w:rsid w:val="00AD1C8F"/>
    <w:rsid w:val="00AD6DB9"/>
    <w:rsid w:val="00AE2F43"/>
    <w:rsid w:val="00AE378E"/>
    <w:rsid w:val="00AE4D51"/>
    <w:rsid w:val="00AE5757"/>
    <w:rsid w:val="00AE6AF9"/>
    <w:rsid w:val="00AF4816"/>
    <w:rsid w:val="00AF5201"/>
    <w:rsid w:val="00AF7C33"/>
    <w:rsid w:val="00B008E2"/>
    <w:rsid w:val="00B02891"/>
    <w:rsid w:val="00B03141"/>
    <w:rsid w:val="00B0377F"/>
    <w:rsid w:val="00B07873"/>
    <w:rsid w:val="00B10CE4"/>
    <w:rsid w:val="00B10DF0"/>
    <w:rsid w:val="00B1163A"/>
    <w:rsid w:val="00B126C9"/>
    <w:rsid w:val="00B13A69"/>
    <w:rsid w:val="00B16815"/>
    <w:rsid w:val="00B16E12"/>
    <w:rsid w:val="00B17A5B"/>
    <w:rsid w:val="00B23487"/>
    <w:rsid w:val="00B239C0"/>
    <w:rsid w:val="00B24A64"/>
    <w:rsid w:val="00B26049"/>
    <w:rsid w:val="00B266F0"/>
    <w:rsid w:val="00B26E0E"/>
    <w:rsid w:val="00B334FB"/>
    <w:rsid w:val="00B35299"/>
    <w:rsid w:val="00B3592E"/>
    <w:rsid w:val="00B3740B"/>
    <w:rsid w:val="00B40E72"/>
    <w:rsid w:val="00B4651C"/>
    <w:rsid w:val="00B46C42"/>
    <w:rsid w:val="00B52BD4"/>
    <w:rsid w:val="00B52FAB"/>
    <w:rsid w:val="00B55678"/>
    <w:rsid w:val="00B658B2"/>
    <w:rsid w:val="00B6752B"/>
    <w:rsid w:val="00B67D2A"/>
    <w:rsid w:val="00B7401B"/>
    <w:rsid w:val="00B807A7"/>
    <w:rsid w:val="00B84629"/>
    <w:rsid w:val="00B91A8B"/>
    <w:rsid w:val="00B95A64"/>
    <w:rsid w:val="00BA2B8F"/>
    <w:rsid w:val="00BA31CF"/>
    <w:rsid w:val="00BA39DA"/>
    <w:rsid w:val="00BA41FB"/>
    <w:rsid w:val="00BB35D3"/>
    <w:rsid w:val="00BB385F"/>
    <w:rsid w:val="00BB5514"/>
    <w:rsid w:val="00BD02EF"/>
    <w:rsid w:val="00BD1ACA"/>
    <w:rsid w:val="00BD2A70"/>
    <w:rsid w:val="00BD2CAE"/>
    <w:rsid w:val="00BD5C94"/>
    <w:rsid w:val="00BD63C1"/>
    <w:rsid w:val="00BD7A96"/>
    <w:rsid w:val="00BE1A7B"/>
    <w:rsid w:val="00BE5684"/>
    <w:rsid w:val="00BF1C5A"/>
    <w:rsid w:val="00BF6168"/>
    <w:rsid w:val="00BF63A0"/>
    <w:rsid w:val="00C00AD0"/>
    <w:rsid w:val="00C026B3"/>
    <w:rsid w:val="00C0325F"/>
    <w:rsid w:val="00C07BE2"/>
    <w:rsid w:val="00C107D3"/>
    <w:rsid w:val="00C112E3"/>
    <w:rsid w:val="00C12252"/>
    <w:rsid w:val="00C13B57"/>
    <w:rsid w:val="00C155F2"/>
    <w:rsid w:val="00C2081D"/>
    <w:rsid w:val="00C23F7A"/>
    <w:rsid w:val="00C241AB"/>
    <w:rsid w:val="00C3079D"/>
    <w:rsid w:val="00C314CD"/>
    <w:rsid w:val="00C36930"/>
    <w:rsid w:val="00C36E96"/>
    <w:rsid w:val="00C4120A"/>
    <w:rsid w:val="00C473FD"/>
    <w:rsid w:val="00C47F38"/>
    <w:rsid w:val="00C51537"/>
    <w:rsid w:val="00C55A78"/>
    <w:rsid w:val="00C5671A"/>
    <w:rsid w:val="00C569E6"/>
    <w:rsid w:val="00C638EA"/>
    <w:rsid w:val="00C66427"/>
    <w:rsid w:val="00C70B25"/>
    <w:rsid w:val="00C70E2E"/>
    <w:rsid w:val="00C72022"/>
    <w:rsid w:val="00C734BA"/>
    <w:rsid w:val="00C757C6"/>
    <w:rsid w:val="00C7674C"/>
    <w:rsid w:val="00C81251"/>
    <w:rsid w:val="00C83FCB"/>
    <w:rsid w:val="00C84CC6"/>
    <w:rsid w:val="00C85723"/>
    <w:rsid w:val="00C87666"/>
    <w:rsid w:val="00C90B3D"/>
    <w:rsid w:val="00CA6562"/>
    <w:rsid w:val="00CB2104"/>
    <w:rsid w:val="00CB29C3"/>
    <w:rsid w:val="00CB2C39"/>
    <w:rsid w:val="00CB2D41"/>
    <w:rsid w:val="00CC66AC"/>
    <w:rsid w:val="00CD060D"/>
    <w:rsid w:val="00CD2057"/>
    <w:rsid w:val="00CD3B61"/>
    <w:rsid w:val="00CD49B7"/>
    <w:rsid w:val="00CE4F04"/>
    <w:rsid w:val="00CF23F7"/>
    <w:rsid w:val="00CF5143"/>
    <w:rsid w:val="00CF6FBB"/>
    <w:rsid w:val="00D0533D"/>
    <w:rsid w:val="00D0567E"/>
    <w:rsid w:val="00D062B7"/>
    <w:rsid w:val="00D0685A"/>
    <w:rsid w:val="00D10DE3"/>
    <w:rsid w:val="00D11CD9"/>
    <w:rsid w:val="00D12E51"/>
    <w:rsid w:val="00D1489C"/>
    <w:rsid w:val="00D151DF"/>
    <w:rsid w:val="00D3032B"/>
    <w:rsid w:val="00D30781"/>
    <w:rsid w:val="00D30D5C"/>
    <w:rsid w:val="00D323DB"/>
    <w:rsid w:val="00D40370"/>
    <w:rsid w:val="00D40456"/>
    <w:rsid w:val="00D42AA2"/>
    <w:rsid w:val="00D4327E"/>
    <w:rsid w:val="00D44642"/>
    <w:rsid w:val="00D45BB0"/>
    <w:rsid w:val="00D54E59"/>
    <w:rsid w:val="00D573C0"/>
    <w:rsid w:val="00D6250A"/>
    <w:rsid w:val="00D63B60"/>
    <w:rsid w:val="00D65F3D"/>
    <w:rsid w:val="00D72982"/>
    <w:rsid w:val="00D82381"/>
    <w:rsid w:val="00D861D2"/>
    <w:rsid w:val="00D91A18"/>
    <w:rsid w:val="00D939F4"/>
    <w:rsid w:val="00D94107"/>
    <w:rsid w:val="00D950F4"/>
    <w:rsid w:val="00D96603"/>
    <w:rsid w:val="00D97FC6"/>
    <w:rsid w:val="00DA1CE9"/>
    <w:rsid w:val="00DA76EB"/>
    <w:rsid w:val="00DA7FAE"/>
    <w:rsid w:val="00DB538D"/>
    <w:rsid w:val="00DB5FCC"/>
    <w:rsid w:val="00DC5B69"/>
    <w:rsid w:val="00DC5BA4"/>
    <w:rsid w:val="00DC6B41"/>
    <w:rsid w:val="00DC75AD"/>
    <w:rsid w:val="00DD05EE"/>
    <w:rsid w:val="00DD26E8"/>
    <w:rsid w:val="00DD5E1F"/>
    <w:rsid w:val="00DD7D54"/>
    <w:rsid w:val="00DE29BF"/>
    <w:rsid w:val="00DE3662"/>
    <w:rsid w:val="00DE3C5D"/>
    <w:rsid w:val="00DE3F58"/>
    <w:rsid w:val="00DE56E6"/>
    <w:rsid w:val="00DF2216"/>
    <w:rsid w:val="00DF42AF"/>
    <w:rsid w:val="00E01110"/>
    <w:rsid w:val="00E021CC"/>
    <w:rsid w:val="00E052D2"/>
    <w:rsid w:val="00E12192"/>
    <w:rsid w:val="00E154E8"/>
    <w:rsid w:val="00E15745"/>
    <w:rsid w:val="00E218AB"/>
    <w:rsid w:val="00E21C26"/>
    <w:rsid w:val="00E21C73"/>
    <w:rsid w:val="00E22954"/>
    <w:rsid w:val="00E25FD5"/>
    <w:rsid w:val="00E2640B"/>
    <w:rsid w:val="00E31176"/>
    <w:rsid w:val="00E33900"/>
    <w:rsid w:val="00E3637F"/>
    <w:rsid w:val="00E40F19"/>
    <w:rsid w:val="00E423A9"/>
    <w:rsid w:val="00E4269F"/>
    <w:rsid w:val="00E42B7D"/>
    <w:rsid w:val="00E44656"/>
    <w:rsid w:val="00E4794C"/>
    <w:rsid w:val="00E528D3"/>
    <w:rsid w:val="00E538E2"/>
    <w:rsid w:val="00E57502"/>
    <w:rsid w:val="00E632CD"/>
    <w:rsid w:val="00E66532"/>
    <w:rsid w:val="00E67D46"/>
    <w:rsid w:val="00E710AA"/>
    <w:rsid w:val="00E72FBC"/>
    <w:rsid w:val="00E77B69"/>
    <w:rsid w:val="00E77D4D"/>
    <w:rsid w:val="00E804E6"/>
    <w:rsid w:val="00E80512"/>
    <w:rsid w:val="00E81D6B"/>
    <w:rsid w:val="00E82EEA"/>
    <w:rsid w:val="00E84390"/>
    <w:rsid w:val="00E850CF"/>
    <w:rsid w:val="00E85776"/>
    <w:rsid w:val="00E863AC"/>
    <w:rsid w:val="00E873AA"/>
    <w:rsid w:val="00E92DFC"/>
    <w:rsid w:val="00E93346"/>
    <w:rsid w:val="00E96231"/>
    <w:rsid w:val="00E97792"/>
    <w:rsid w:val="00EA3178"/>
    <w:rsid w:val="00EB0ADA"/>
    <w:rsid w:val="00EB2666"/>
    <w:rsid w:val="00EB2F80"/>
    <w:rsid w:val="00EB3A63"/>
    <w:rsid w:val="00EB4D88"/>
    <w:rsid w:val="00EB6728"/>
    <w:rsid w:val="00EC3756"/>
    <w:rsid w:val="00EC5C20"/>
    <w:rsid w:val="00EC5E22"/>
    <w:rsid w:val="00EC6D2E"/>
    <w:rsid w:val="00ED1939"/>
    <w:rsid w:val="00ED6C71"/>
    <w:rsid w:val="00ED6EBB"/>
    <w:rsid w:val="00ED7353"/>
    <w:rsid w:val="00ED7983"/>
    <w:rsid w:val="00EE079A"/>
    <w:rsid w:val="00EE3B19"/>
    <w:rsid w:val="00EE5CD5"/>
    <w:rsid w:val="00EE7018"/>
    <w:rsid w:val="00EF1037"/>
    <w:rsid w:val="00EF39D3"/>
    <w:rsid w:val="00F00CC6"/>
    <w:rsid w:val="00F02A94"/>
    <w:rsid w:val="00F0380F"/>
    <w:rsid w:val="00F1055D"/>
    <w:rsid w:val="00F12BC4"/>
    <w:rsid w:val="00F1511C"/>
    <w:rsid w:val="00F16C00"/>
    <w:rsid w:val="00F16CDB"/>
    <w:rsid w:val="00F22037"/>
    <w:rsid w:val="00F22723"/>
    <w:rsid w:val="00F2386D"/>
    <w:rsid w:val="00F250DC"/>
    <w:rsid w:val="00F26019"/>
    <w:rsid w:val="00F3088C"/>
    <w:rsid w:val="00F30A9B"/>
    <w:rsid w:val="00F3324F"/>
    <w:rsid w:val="00F35261"/>
    <w:rsid w:val="00F419E4"/>
    <w:rsid w:val="00F41D1B"/>
    <w:rsid w:val="00F44BC4"/>
    <w:rsid w:val="00F463E6"/>
    <w:rsid w:val="00F477A4"/>
    <w:rsid w:val="00F51B82"/>
    <w:rsid w:val="00F56CE7"/>
    <w:rsid w:val="00F60524"/>
    <w:rsid w:val="00F60966"/>
    <w:rsid w:val="00F626D1"/>
    <w:rsid w:val="00F6453E"/>
    <w:rsid w:val="00F65A21"/>
    <w:rsid w:val="00F71A7E"/>
    <w:rsid w:val="00F728CD"/>
    <w:rsid w:val="00F72A4B"/>
    <w:rsid w:val="00F85D0F"/>
    <w:rsid w:val="00F864FE"/>
    <w:rsid w:val="00F878AF"/>
    <w:rsid w:val="00F90E9E"/>
    <w:rsid w:val="00F950BF"/>
    <w:rsid w:val="00F96369"/>
    <w:rsid w:val="00F979D5"/>
    <w:rsid w:val="00FA0AC6"/>
    <w:rsid w:val="00FA35A4"/>
    <w:rsid w:val="00FA5ADF"/>
    <w:rsid w:val="00FB3248"/>
    <w:rsid w:val="00FE028E"/>
    <w:rsid w:val="00FE7164"/>
    <w:rsid w:val="00FF0DAD"/>
    <w:rsid w:val="00FF29D2"/>
    <w:rsid w:val="1EEEA174"/>
    <w:rsid w:val="2EEAEBE5"/>
    <w:rsid w:val="2FF4FD72"/>
    <w:rsid w:val="36DE97E9"/>
    <w:rsid w:val="37EF1718"/>
    <w:rsid w:val="3BDF258D"/>
    <w:rsid w:val="46DAA672"/>
    <w:rsid w:val="4DDF0A3E"/>
    <w:rsid w:val="5DF93455"/>
    <w:rsid w:val="5EEE4C1B"/>
    <w:rsid w:val="5EFF33D4"/>
    <w:rsid w:val="5F3FDE1C"/>
    <w:rsid w:val="67DDBF65"/>
    <w:rsid w:val="69FBB1E6"/>
    <w:rsid w:val="6CB63E13"/>
    <w:rsid w:val="6F7DDD25"/>
    <w:rsid w:val="6FD99831"/>
    <w:rsid w:val="6FFDD2C4"/>
    <w:rsid w:val="73AACFBD"/>
    <w:rsid w:val="76EE1414"/>
    <w:rsid w:val="772F903A"/>
    <w:rsid w:val="797EAE40"/>
    <w:rsid w:val="79F7E4F1"/>
    <w:rsid w:val="7A2FC537"/>
    <w:rsid w:val="7ABF86A8"/>
    <w:rsid w:val="7ACBF4A9"/>
    <w:rsid w:val="7BFB57A3"/>
    <w:rsid w:val="7E9E6CBE"/>
    <w:rsid w:val="7EECCA11"/>
    <w:rsid w:val="7F2B05EE"/>
    <w:rsid w:val="7FBE70F6"/>
    <w:rsid w:val="7FFF7F2E"/>
    <w:rsid w:val="87DF3D08"/>
    <w:rsid w:val="97FBC558"/>
    <w:rsid w:val="99FF660E"/>
    <w:rsid w:val="9B781BC4"/>
    <w:rsid w:val="9F5EE729"/>
    <w:rsid w:val="AFE32557"/>
    <w:rsid w:val="BD7C9AEE"/>
    <w:rsid w:val="D6E79B73"/>
    <w:rsid w:val="DDBE968B"/>
    <w:rsid w:val="DEC86C5A"/>
    <w:rsid w:val="E7BFA75C"/>
    <w:rsid w:val="ED77EC90"/>
    <w:rsid w:val="EDAF0271"/>
    <w:rsid w:val="EE7F3FA5"/>
    <w:rsid w:val="EF9F22B4"/>
    <w:rsid w:val="F3AF0625"/>
    <w:rsid w:val="F3B57EED"/>
    <w:rsid w:val="F5FD7471"/>
    <w:rsid w:val="F5FDCC2A"/>
    <w:rsid w:val="F756FF7B"/>
    <w:rsid w:val="F7F70E27"/>
    <w:rsid w:val="F9FD2C18"/>
    <w:rsid w:val="FA7B2BF3"/>
    <w:rsid w:val="FAFFEE8A"/>
    <w:rsid w:val="FBD51EAA"/>
    <w:rsid w:val="FD7FB73C"/>
    <w:rsid w:val="FE7B37D4"/>
    <w:rsid w:val="FF5D35D7"/>
    <w:rsid w:val="FF7E328B"/>
    <w:rsid w:val="FF9E203F"/>
    <w:rsid w:val="FFBEDE70"/>
    <w:rsid w:val="FFED3E23"/>
    <w:rsid w:val="FFF4A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qFormat/>
    <w:uiPriority w:val="0"/>
  </w:style>
  <w:style w:type="paragraph" w:styleId="4">
    <w:name w:val="annotation text"/>
    <w:basedOn w:val="1"/>
    <w:link w:val="20"/>
    <w:semiHidden/>
    <w:unhideWhenUsed/>
    <w:qFormat/>
    <w:uiPriority w:val="99"/>
    <w:pPr>
      <w:jc w:val="left"/>
    </w:pPr>
  </w:style>
  <w:style w:type="paragraph" w:styleId="5">
    <w:name w:val="Date"/>
    <w:basedOn w:val="1"/>
    <w:next w:val="1"/>
    <w:link w:val="18"/>
    <w:semiHidden/>
    <w:unhideWhenUsed/>
    <w:qFormat/>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paragraph" w:styleId="10">
    <w:name w:val="annotation subject"/>
    <w:basedOn w:val="4"/>
    <w:next w:val="4"/>
    <w:link w:val="22"/>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unhideWhenUsed/>
    <w:qFormat/>
    <w:uiPriority w:val="99"/>
    <w:rPr>
      <w:color w:val="0563C1"/>
      <w:u w:val="single"/>
    </w:rPr>
  </w:style>
  <w:style w:type="character" w:styleId="15">
    <w:name w:val="annotation reference"/>
    <w:semiHidden/>
    <w:unhideWhenUsed/>
    <w:qFormat/>
    <w:uiPriority w:val="99"/>
    <w:rPr>
      <w:sz w:val="21"/>
      <w:szCs w:val="21"/>
    </w:rPr>
  </w:style>
  <w:style w:type="character" w:customStyle="1" w:styleId="16">
    <w:name w:val="页眉 Char"/>
    <w:basedOn w:val="13"/>
    <w:link w:val="8"/>
    <w:qFormat/>
    <w:uiPriority w:val="99"/>
    <w:rPr>
      <w:rFonts w:ascii="Calibri" w:hAnsi="Calibri" w:eastAsia="宋体" w:cs="Times New Roman"/>
      <w:sz w:val="18"/>
      <w:szCs w:val="18"/>
    </w:rPr>
  </w:style>
  <w:style w:type="character" w:customStyle="1" w:styleId="17">
    <w:name w:val="页脚 Char"/>
    <w:basedOn w:val="13"/>
    <w:link w:val="7"/>
    <w:qFormat/>
    <w:uiPriority w:val="99"/>
    <w:rPr>
      <w:rFonts w:ascii="Calibri" w:hAnsi="Calibri" w:eastAsia="宋体" w:cs="Times New Roman"/>
      <w:sz w:val="18"/>
      <w:szCs w:val="18"/>
    </w:rPr>
  </w:style>
  <w:style w:type="character" w:customStyle="1" w:styleId="18">
    <w:name w:val="日期 Char"/>
    <w:basedOn w:val="13"/>
    <w:link w:val="5"/>
    <w:semiHidden/>
    <w:qFormat/>
    <w:uiPriority w:val="99"/>
    <w:rPr>
      <w:rFonts w:ascii="Calibri" w:hAnsi="Calibri" w:eastAsia="宋体" w:cs="Times New Roman"/>
    </w:rPr>
  </w:style>
  <w:style w:type="paragraph" w:styleId="19">
    <w:name w:val="List Paragraph"/>
    <w:basedOn w:val="1"/>
    <w:qFormat/>
    <w:uiPriority w:val="99"/>
    <w:pPr>
      <w:ind w:firstLine="420" w:firstLineChars="200"/>
    </w:pPr>
  </w:style>
  <w:style w:type="character" w:customStyle="1" w:styleId="20">
    <w:name w:val="批注文字 Char"/>
    <w:basedOn w:val="13"/>
    <w:link w:val="4"/>
    <w:semiHidden/>
    <w:qFormat/>
    <w:uiPriority w:val="99"/>
    <w:rPr>
      <w:rFonts w:ascii="Calibri" w:hAnsi="Calibri" w:eastAsia="宋体" w:cs="Times New Roman"/>
    </w:rPr>
  </w:style>
  <w:style w:type="character" w:customStyle="1" w:styleId="21">
    <w:name w:val="批注框文本 Char"/>
    <w:basedOn w:val="13"/>
    <w:link w:val="6"/>
    <w:semiHidden/>
    <w:qFormat/>
    <w:uiPriority w:val="99"/>
    <w:rPr>
      <w:rFonts w:ascii="Calibri" w:hAnsi="Calibri" w:eastAsia="宋体" w:cs="Times New Roman"/>
      <w:sz w:val="18"/>
      <w:szCs w:val="18"/>
    </w:rPr>
  </w:style>
  <w:style w:type="character" w:customStyle="1" w:styleId="22">
    <w:name w:val="批注主题 Char"/>
    <w:basedOn w:val="20"/>
    <w:link w:val="10"/>
    <w:semiHidden/>
    <w:qFormat/>
    <w:uiPriority w:val="99"/>
    <w:rPr>
      <w:rFonts w:ascii="Calibri" w:hAnsi="Calibri" w:eastAsia="宋体" w:cs="Times New Roman"/>
      <w:b/>
      <w:bCs/>
    </w:rPr>
  </w:style>
  <w:style w:type="paragraph" w:customStyle="1" w:styleId="23">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607</Words>
  <Characters>3464</Characters>
  <Lines>28</Lines>
  <Paragraphs>8</Paragraphs>
  <TotalTime>1</TotalTime>
  <ScaleCrop>false</ScaleCrop>
  <LinksUpToDate>false</LinksUpToDate>
  <CharactersWithSpaces>4063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2023-09-27T01:34:00Z</dcterms:created>
  <dc:creator>蔡慧ch</dc:creator>
  <cp:lastModifiedBy>mawx</cp:lastModifiedBy>
  <cp:lastPrinted>2023-09-20T16:47:00Z</cp:lastPrinted>
  <dcterms:modified xsi:type="dcterms:W3CDTF">2023-09-26T18:41:02Z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